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63" w:rsidRPr="00440A5F" w:rsidRDefault="00E23469">
      <w:pPr>
        <w:rPr>
          <w:rFonts w:ascii="Arial" w:hAnsi="Arial" w:cs="Arial"/>
          <w:b/>
          <w:u w:val="single"/>
        </w:rPr>
      </w:pPr>
      <w:r w:rsidRPr="00DE4B63">
        <w:rPr>
          <w:rFonts w:ascii="Arial" w:hAnsi="Arial" w:cs="Arial"/>
          <w:b/>
          <w:u w:val="single"/>
        </w:rPr>
        <w:t>JATKE - Pikatesti</w:t>
      </w:r>
      <w:r w:rsidR="00DE4B63">
        <w:rPr>
          <w:rFonts w:ascii="Arial" w:hAnsi="Arial" w:cs="Arial"/>
          <w:b/>
          <w:u w:val="single"/>
        </w:rPr>
        <w:t xml:space="preserve"> </w:t>
      </w:r>
      <w:r w:rsidR="00B24E92" w:rsidRPr="00B24E92">
        <w:rPr>
          <w:rFonts w:ascii="Arial" w:hAnsi="Arial" w:cs="Arial"/>
          <w:b/>
        </w:rPr>
        <w:t xml:space="preserve">              </w:t>
      </w:r>
      <w:r w:rsidR="008E40E2">
        <w:rPr>
          <w:rFonts w:ascii="Arial" w:hAnsi="Arial" w:cs="Arial"/>
          <w:b/>
        </w:rPr>
        <w:t xml:space="preserve">VARAUTUMISEN JA </w:t>
      </w:r>
      <w:r w:rsidRPr="00DE4B63">
        <w:rPr>
          <w:rFonts w:ascii="Arial" w:hAnsi="Arial" w:cs="Arial"/>
          <w:b/>
        </w:rPr>
        <w:t>JATKUVUUDENHALLINNAN KEHITTÄMISTOIMENPITEIDEN TARPEELLISUUDEN ARVIOINTI</w:t>
      </w:r>
    </w:p>
    <w:p w:rsidR="00BA7D53" w:rsidRDefault="00E23469">
      <w:pPr>
        <w:rPr>
          <w:rFonts w:ascii="Arial" w:hAnsi="Arial" w:cs="Arial"/>
        </w:rPr>
      </w:pPr>
      <w:r w:rsidRPr="00DE4B63">
        <w:rPr>
          <w:rFonts w:ascii="Arial" w:hAnsi="Arial" w:cs="Arial"/>
        </w:rPr>
        <w:t>Tällä pikatestillä voitte hahmottaa</w:t>
      </w:r>
      <w:r w:rsidR="008E40E2">
        <w:rPr>
          <w:rFonts w:ascii="Arial" w:hAnsi="Arial" w:cs="Arial"/>
        </w:rPr>
        <w:t xml:space="preserve"> varautumisen ja</w:t>
      </w:r>
      <w:r w:rsidRPr="00DE4B63">
        <w:rPr>
          <w:rFonts w:ascii="Arial" w:hAnsi="Arial" w:cs="Arial"/>
        </w:rPr>
        <w:t xml:space="preserve"> jatkuvuudenhallinnan kehittämistoimenpiteiden tarpeellisuutta organisaatiossanne. Testin tekeminen vie aikaa noin 10 - 20 minuuttia.</w:t>
      </w:r>
    </w:p>
    <w:p w:rsidR="00214403" w:rsidRPr="00DE4B63" w:rsidRDefault="00214403">
      <w:pPr>
        <w:rPr>
          <w:rFonts w:ascii="Arial" w:hAnsi="Arial" w:cs="Arial"/>
          <w:b/>
        </w:rPr>
      </w:pPr>
    </w:p>
    <w:tbl>
      <w:tblPr>
        <w:tblStyle w:val="TaulukkoRuudukko"/>
        <w:tblW w:w="15444" w:type="dxa"/>
        <w:tblInd w:w="170" w:type="dxa"/>
        <w:tblLook w:val="04A0" w:firstRow="1" w:lastRow="0" w:firstColumn="1" w:lastColumn="0" w:noHBand="0" w:noVBand="1"/>
      </w:tblPr>
      <w:tblGrid>
        <w:gridCol w:w="656"/>
        <w:gridCol w:w="7216"/>
        <w:gridCol w:w="1250"/>
        <w:gridCol w:w="1306"/>
        <w:gridCol w:w="1276"/>
        <w:gridCol w:w="3740"/>
      </w:tblGrid>
      <w:tr w:rsidR="00E23469" w:rsidRPr="00E23469" w:rsidTr="00DE4B63">
        <w:tc>
          <w:tcPr>
            <w:tcW w:w="656" w:type="dxa"/>
            <w:vMerge w:val="restart"/>
            <w:shd w:val="clear" w:color="auto" w:fill="88E4FF" w:themeFill="accent2" w:themeFillTint="66"/>
          </w:tcPr>
          <w:p w:rsidR="00E23469" w:rsidRPr="00DE13A8" w:rsidRDefault="00E23469" w:rsidP="00E234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3A8">
              <w:rPr>
                <w:rFonts w:ascii="Arial" w:hAnsi="Arial" w:cs="Arial"/>
                <w:b/>
                <w:sz w:val="20"/>
                <w:szCs w:val="20"/>
              </w:rPr>
              <w:t>Nro.</w:t>
            </w:r>
          </w:p>
        </w:tc>
        <w:tc>
          <w:tcPr>
            <w:tcW w:w="7216" w:type="dxa"/>
            <w:vMerge w:val="restart"/>
            <w:shd w:val="clear" w:color="auto" w:fill="88E4FF" w:themeFill="accent2" w:themeFillTint="66"/>
          </w:tcPr>
          <w:p w:rsidR="00E23469" w:rsidRPr="00DE13A8" w:rsidRDefault="00E23469" w:rsidP="00E234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3A8">
              <w:rPr>
                <w:rFonts w:ascii="Arial" w:hAnsi="Arial" w:cs="Arial"/>
                <w:b/>
                <w:sz w:val="20"/>
                <w:szCs w:val="20"/>
              </w:rPr>
              <w:t>Arviointikysymys</w:t>
            </w:r>
          </w:p>
        </w:tc>
        <w:tc>
          <w:tcPr>
            <w:tcW w:w="3832" w:type="dxa"/>
            <w:gridSpan w:val="3"/>
            <w:shd w:val="clear" w:color="auto" w:fill="88E4FF" w:themeFill="accent2" w:themeFillTint="66"/>
          </w:tcPr>
          <w:p w:rsidR="00E23469" w:rsidRPr="00DE13A8" w:rsidRDefault="00E23469" w:rsidP="00E23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3A8">
              <w:rPr>
                <w:rFonts w:ascii="Arial" w:hAnsi="Arial" w:cs="Arial"/>
                <w:b/>
                <w:sz w:val="20"/>
                <w:szCs w:val="20"/>
              </w:rPr>
              <w:t>Arvio nykytilasta</w:t>
            </w:r>
          </w:p>
        </w:tc>
        <w:tc>
          <w:tcPr>
            <w:tcW w:w="3740" w:type="dxa"/>
            <w:vMerge w:val="restart"/>
            <w:shd w:val="clear" w:color="auto" w:fill="88E4FF" w:themeFill="accent2" w:themeFillTint="66"/>
          </w:tcPr>
          <w:p w:rsidR="00E23469" w:rsidRPr="00DE13A8" w:rsidRDefault="00E23469" w:rsidP="00E234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3A8">
              <w:rPr>
                <w:rFonts w:ascii="Arial" w:hAnsi="Arial" w:cs="Arial"/>
                <w:b/>
                <w:sz w:val="20"/>
                <w:szCs w:val="20"/>
              </w:rPr>
              <w:t>Lisäselvitys tarvittaessa</w:t>
            </w:r>
          </w:p>
        </w:tc>
      </w:tr>
      <w:tr w:rsidR="00E23469" w:rsidRPr="00E23469" w:rsidTr="004956F1">
        <w:trPr>
          <w:trHeight w:val="548"/>
        </w:trPr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4DD6FF" w:themeFill="accent2" w:themeFillTint="99"/>
          </w:tcPr>
          <w:p w:rsidR="00E23469" w:rsidRPr="00DE13A8" w:rsidRDefault="00E23469" w:rsidP="00E23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6" w:type="dxa"/>
            <w:vMerge/>
            <w:tcBorders>
              <w:bottom w:val="single" w:sz="4" w:space="0" w:color="auto"/>
            </w:tcBorders>
            <w:shd w:val="clear" w:color="auto" w:fill="4DD6FF" w:themeFill="accent2" w:themeFillTint="99"/>
          </w:tcPr>
          <w:p w:rsidR="00E23469" w:rsidRPr="00DE13A8" w:rsidRDefault="00E23469" w:rsidP="00E23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23469" w:rsidRPr="004956F1" w:rsidRDefault="00E23469" w:rsidP="00495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6F1">
              <w:rPr>
                <w:rFonts w:ascii="Arial" w:hAnsi="Arial" w:cs="Arial"/>
                <w:b/>
                <w:sz w:val="16"/>
                <w:szCs w:val="16"/>
              </w:rPr>
              <w:t>Kunnossa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3469" w:rsidRPr="004956F1" w:rsidRDefault="00E23469" w:rsidP="00495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6F1">
              <w:rPr>
                <w:rFonts w:ascii="Arial" w:hAnsi="Arial" w:cs="Arial"/>
                <w:b/>
                <w:sz w:val="16"/>
                <w:szCs w:val="16"/>
              </w:rPr>
              <w:t>Osittain</w:t>
            </w:r>
          </w:p>
          <w:p w:rsidR="00E23469" w:rsidRPr="004956F1" w:rsidRDefault="00E23469" w:rsidP="00495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6F1">
              <w:rPr>
                <w:rFonts w:ascii="Arial" w:hAnsi="Arial" w:cs="Arial"/>
                <w:b/>
                <w:sz w:val="16"/>
                <w:szCs w:val="16"/>
              </w:rPr>
              <w:t>kunnossa / selvitettävä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23469" w:rsidRPr="004956F1" w:rsidRDefault="00E23469" w:rsidP="00495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6F1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  <w:p w:rsidR="00E23469" w:rsidRPr="004956F1" w:rsidRDefault="00E23469" w:rsidP="00495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6F1">
              <w:rPr>
                <w:rFonts w:ascii="Arial" w:hAnsi="Arial" w:cs="Arial"/>
                <w:b/>
                <w:sz w:val="16"/>
                <w:szCs w:val="16"/>
              </w:rPr>
              <w:t>kunnossa</w:t>
            </w:r>
          </w:p>
        </w:tc>
        <w:tc>
          <w:tcPr>
            <w:tcW w:w="3740" w:type="dxa"/>
            <w:vMerge/>
            <w:tcBorders>
              <w:bottom w:val="single" w:sz="4" w:space="0" w:color="auto"/>
            </w:tcBorders>
            <w:shd w:val="clear" w:color="auto" w:fill="4DD6FF" w:themeFill="accent2" w:themeFillTint="99"/>
          </w:tcPr>
          <w:p w:rsidR="00E23469" w:rsidRPr="00DE13A8" w:rsidRDefault="00E23469" w:rsidP="00E23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469" w:rsidRPr="00E23469" w:rsidTr="00440A5F">
        <w:trPr>
          <w:trHeight w:val="981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16" w:type="dxa"/>
          </w:tcPr>
          <w:p w:rsidR="00E23469" w:rsidRDefault="00DE13A8" w:rsidP="002D0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Varautumisen ja j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>atkuvuudenhallinnan toimintamalli</w:t>
            </w:r>
            <w:r w:rsidR="0003107A">
              <w:rPr>
                <w:rFonts w:ascii="Arial" w:hAnsi="Arial" w:cs="Arial"/>
                <w:sz w:val="20"/>
                <w:szCs w:val="20"/>
              </w:rPr>
              <w:t xml:space="preserve"> / prosessi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 xml:space="preserve"> on kuvat</w:t>
            </w:r>
            <w:r>
              <w:rPr>
                <w:rFonts w:ascii="Arial" w:hAnsi="Arial" w:cs="Arial"/>
                <w:sz w:val="20"/>
                <w:szCs w:val="20"/>
              </w:rPr>
              <w:t xml:space="preserve">tu sekä 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>ohjeistet</w:t>
            </w:r>
            <w:r w:rsidR="002D0B75">
              <w:rPr>
                <w:rFonts w:ascii="Arial" w:hAnsi="Arial" w:cs="Arial"/>
                <w:sz w:val="20"/>
                <w:szCs w:val="20"/>
              </w:rPr>
              <w:t>tu</w:t>
            </w:r>
            <w:r w:rsidR="00585B98">
              <w:rPr>
                <w:rFonts w:ascii="Arial" w:hAnsi="Arial" w:cs="Arial"/>
                <w:sz w:val="20"/>
                <w:szCs w:val="20"/>
              </w:rPr>
              <w:t>. V</w:t>
            </w:r>
            <w:r w:rsidR="001B66C3">
              <w:rPr>
                <w:rFonts w:ascii="Arial" w:hAnsi="Arial" w:cs="Arial"/>
                <w:sz w:val="20"/>
                <w:szCs w:val="20"/>
              </w:rPr>
              <w:t>astuut ja roolit on määritelty</w:t>
            </w:r>
            <w:r w:rsidR="00302662">
              <w:rPr>
                <w:rFonts w:ascii="Arial" w:hAnsi="Arial" w:cs="Arial"/>
                <w:sz w:val="20"/>
                <w:szCs w:val="20"/>
              </w:rPr>
              <w:t xml:space="preserve"> kirjallisesti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956F1">
              <w:rPr>
                <w:rFonts w:ascii="Arial" w:hAnsi="Arial" w:cs="Arial"/>
                <w:sz w:val="20"/>
                <w:szCs w:val="20"/>
              </w:rPr>
              <w:t>Toimintamalli, o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>h</w:t>
            </w:r>
            <w:r w:rsidR="002D0B75">
              <w:rPr>
                <w:rFonts w:ascii="Arial" w:hAnsi="Arial" w:cs="Arial"/>
                <w:sz w:val="20"/>
                <w:szCs w:val="20"/>
              </w:rPr>
              <w:t>jeistus</w:t>
            </w:r>
            <w:r w:rsidR="001B66C3">
              <w:rPr>
                <w:rFonts w:ascii="Arial" w:hAnsi="Arial" w:cs="Arial"/>
                <w:sz w:val="20"/>
                <w:szCs w:val="20"/>
              </w:rPr>
              <w:t xml:space="preserve"> ja vastuut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 xml:space="preserve"> jakautu</w:t>
            </w:r>
            <w:r w:rsidR="001B66C3">
              <w:rPr>
                <w:rFonts w:ascii="Arial" w:hAnsi="Arial" w:cs="Arial"/>
                <w:sz w:val="20"/>
                <w:szCs w:val="20"/>
              </w:rPr>
              <w:t>vat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 xml:space="preserve"> organisaatiokohtaisesti ja yksikkökohtaisesti. Toimintamal</w:t>
            </w:r>
            <w:r w:rsidR="001B66C3">
              <w:rPr>
                <w:rFonts w:ascii="Arial" w:hAnsi="Arial" w:cs="Arial"/>
                <w:sz w:val="20"/>
                <w:szCs w:val="20"/>
              </w:rPr>
              <w:t xml:space="preserve">li, </w:t>
            </w:r>
            <w:r w:rsidR="002D0B75">
              <w:rPr>
                <w:rFonts w:ascii="Arial" w:hAnsi="Arial" w:cs="Arial"/>
                <w:sz w:val="20"/>
                <w:szCs w:val="20"/>
              </w:rPr>
              <w:t>ohjeet</w:t>
            </w:r>
            <w:r w:rsidR="001B66C3">
              <w:rPr>
                <w:rFonts w:ascii="Arial" w:hAnsi="Arial" w:cs="Arial"/>
                <w:sz w:val="20"/>
                <w:szCs w:val="20"/>
              </w:rPr>
              <w:t xml:space="preserve"> ja vastuut</w:t>
            </w:r>
            <w:r w:rsidR="002D0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>ovat ajantasai</w:t>
            </w:r>
            <w:r w:rsidR="002D0B75">
              <w:rPr>
                <w:rFonts w:ascii="Arial" w:hAnsi="Arial" w:cs="Arial"/>
                <w:sz w:val="20"/>
                <w:szCs w:val="20"/>
              </w:rPr>
              <w:t>sia.</w:t>
            </w:r>
          </w:p>
          <w:p w:rsidR="004956F1" w:rsidRPr="004956F1" w:rsidRDefault="004956F1" w:rsidP="002D0B7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0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0" w:name="Teksti86"/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0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4956F1">
        <w:trPr>
          <w:trHeight w:val="697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16" w:type="dxa"/>
          </w:tcPr>
          <w:p w:rsidR="004956F1" w:rsidRDefault="001B66C3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1B66C3">
              <w:rPr>
                <w:rFonts w:ascii="Arial" w:hAnsi="Arial" w:cs="Arial"/>
                <w:sz w:val="20"/>
                <w:szCs w:val="20"/>
              </w:rPr>
              <w:t>Organisaatiotason varautumisen ja jatkuvuudenhallinnan ko</w:t>
            </w:r>
            <w:r w:rsidR="00585B98">
              <w:rPr>
                <w:rFonts w:ascii="Arial" w:hAnsi="Arial" w:cs="Arial"/>
                <w:sz w:val="20"/>
                <w:szCs w:val="20"/>
              </w:rPr>
              <w:t>ordinaattori (vast.) on nimetty ja</w:t>
            </w:r>
            <w:r w:rsidRPr="001B66C3">
              <w:rPr>
                <w:rFonts w:ascii="Arial" w:hAnsi="Arial" w:cs="Arial"/>
                <w:sz w:val="20"/>
                <w:szCs w:val="20"/>
              </w:rPr>
              <w:t xml:space="preserve"> koulutettu sekä työaikaa on osoitettu koordinoimisen toteuttamiseksi.</w:t>
            </w:r>
          </w:p>
          <w:p w:rsidR="004956F1" w:rsidRPr="004956F1" w:rsidRDefault="004956F1" w:rsidP="00DE13A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0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214403">
        <w:trPr>
          <w:trHeight w:val="809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16" w:type="dxa"/>
          </w:tcPr>
          <w:p w:rsidR="004956F1" w:rsidRPr="004956F1" w:rsidRDefault="00214403" w:rsidP="00DE13A8">
            <w:pPr>
              <w:rPr>
                <w:rFonts w:ascii="Arial" w:hAnsi="Arial" w:cs="Arial"/>
                <w:sz w:val="10"/>
                <w:szCs w:val="10"/>
              </w:rPr>
            </w:pPr>
            <w:r w:rsidRPr="00214403">
              <w:rPr>
                <w:rFonts w:ascii="Arial" w:hAnsi="Arial" w:cs="Arial"/>
                <w:sz w:val="20"/>
                <w:szCs w:val="20"/>
              </w:rPr>
              <w:t>Varautumisen keskeiset suunnitelmat ovat ajantasaisia ja organisaation ylin johto o</w:t>
            </w:r>
            <w:r>
              <w:rPr>
                <w:rFonts w:ascii="Arial" w:hAnsi="Arial" w:cs="Arial"/>
                <w:sz w:val="20"/>
                <w:szCs w:val="20"/>
              </w:rPr>
              <w:t xml:space="preserve">n ne hyväksynyt. Suunnitelmien </w:t>
            </w:r>
            <w:r w:rsidRPr="00214403">
              <w:rPr>
                <w:rFonts w:ascii="Arial" w:hAnsi="Arial" w:cs="Arial"/>
                <w:sz w:val="20"/>
                <w:szCs w:val="20"/>
              </w:rPr>
              <w:t xml:space="preserve">keskeisimmät päivitystarpeet sekä päivitysaikataulu on määritetty ja yhteisesti hyväksytty. </w:t>
            </w:r>
          </w:p>
        </w:tc>
        <w:tc>
          <w:tcPr>
            <w:tcW w:w="1250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4956F1">
        <w:trPr>
          <w:trHeight w:val="520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16" w:type="dxa"/>
          </w:tcPr>
          <w:p w:rsidR="00E23469" w:rsidRDefault="001B66C3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1B66C3">
              <w:rPr>
                <w:rFonts w:ascii="Arial" w:hAnsi="Arial" w:cs="Arial"/>
                <w:sz w:val="20"/>
                <w:szCs w:val="20"/>
              </w:rPr>
              <w:t>Käytettävissä on selkeä toimintamalli vakavien häiriötilanteiden johtamiseksi ja hallitsemiseksi.</w:t>
            </w:r>
          </w:p>
          <w:p w:rsidR="004956F1" w:rsidRPr="004956F1" w:rsidRDefault="004956F1" w:rsidP="00DE13A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0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4956F1">
        <w:trPr>
          <w:trHeight w:val="783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16" w:type="dxa"/>
          </w:tcPr>
          <w:p w:rsidR="00E23469" w:rsidRDefault="00E9207C" w:rsidP="00E9207C">
            <w:pPr>
              <w:rPr>
                <w:rFonts w:ascii="Arial" w:hAnsi="Arial" w:cs="Arial"/>
                <w:sz w:val="20"/>
                <w:szCs w:val="20"/>
              </w:rPr>
            </w:pPr>
            <w:r w:rsidRPr="00E9207C">
              <w:rPr>
                <w:rFonts w:ascii="Arial" w:hAnsi="Arial" w:cs="Arial"/>
                <w:sz w:val="20"/>
                <w:szCs w:val="20"/>
              </w:rPr>
              <w:t>Toimintamallit ja suunnitelmat ovat saatavilla ja henkilöstö on perehtynyt niihin. Toiminnan kannalta keskeiset henkilöt kaikilla tasoilla on perehdytetty organisaation toimenpitein toimintamallien ja suunnitelmien keskeisiin kohtiin.</w:t>
            </w:r>
          </w:p>
          <w:p w:rsidR="004956F1" w:rsidRPr="004956F1" w:rsidRDefault="004956F1" w:rsidP="00E9207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50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4956F1">
        <w:trPr>
          <w:trHeight w:val="979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16" w:type="dxa"/>
          </w:tcPr>
          <w:p w:rsidR="00E23469" w:rsidRDefault="00E9207C" w:rsidP="00E9207C">
            <w:pPr>
              <w:rPr>
                <w:rFonts w:ascii="Arial" w:hAnsi="Arial" w:cs="Arial"/>
                <w:sz w:val="20"/>
                <w:szCs w:val="20"/>
              </w:rPr>
            </w:pPr>
            <w:r w:rsidRPr="00E9207C">
              <w:rPr>
                <w:rFonts w:ascii="Arial" w:hAnsi="Arial" w:cs="Arial"/>
                <w:sz w:val="20"/>
                <w:szCs w:val="20"/>
              </w:rPr>
              <w:t>Kaikissa tilanteissa ylläpidettävät</w:t>
            </w:r>
            <w:r w:rsidR="004956F1">
              <w:rPr>
                <w:rFonts w:ascii="Arial" w:hAnsi="Arial" w:cs="Arial"/>
                <w:sz w:val="20"/>
                <w:szCs w:val="20"/>
              </w:rPr>
              <w:t xml:space="preserve"> toiminnot ja tehtävät</w:t>
            </w:r>
            <w:r w:rsidRPr="00E9207C">
              <w:rPr>
                <w:rFonts w:ascii="Arial" w:hAnsi="Arial" w:cs="Arial"/>
                <w:sz w:val="20"/>
                <w:szCs w:val="20"/>
              </w:rPr>
              <w:t xml:space="preserve"> on tunnistettu ja </w:t>
            </w:r>
            <w:r w:rsidR="004956F1">
              <w:rPr>
                <w:rFonts w:ascii="Arial" w:hAnsi="Arial" w:cs="Arial"/>
                <w:sz w:val="20"/>
                <w:szCs w:val="20"/>
              </w:rPr>
              <w:t xml:space="preserve">tehtävät on </w:t>
            </w:r>
            <w:r w:rsidRPr="00E9207C">
              <w:rPr>
                <w:rFonts w:ascii="Arial" w:hAnsi="Arial" w:cs="Arial"/>
                <w:sz w:val="20"/>
                <w:szCs w:val="20"/>
              </w:rPr>
              <w:t>luokiteltu tärkeyden perusteella eri kategorioihin. Keskeisimpien toimintojen ja tehtävien ylläpitämiseksi näihin liittyvät kriittiset järjestelmät, toiminnot ja tehtävät on tunnistettu ja näille on määritelty riittävät hallinnan menettelyt.</w:t>
            </w:r>
          </w:p>
          <w:p w:rsidR="004956F1" w:rsidRPr="004956F1" w:rsidRDefault="004956F1" w:rsidP="00E9207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0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4956F1">
        <w:trPr>
          <w:trHeight w:val="937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16" w:type="dxa"/>
          </w:tcPr>
          <w:p w:rsidR="00E23469" w:rsidRDefault="00E9207C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E9207C">
              <w:rPr>
                <w:rFonts w:ascii="Arial" w:hAnsi="Arial" w:cs="Arial"/>
                <w:sz w:val="20"/>
                <w:szCs w:val="20"/>
              </w:rPr>
              <w:t xml:space="preserve">Koulutus ja harjoittelu </w:t>
            </w:r>
            <w:proofErr w:type="gramStart"/>
            <w:r w:rsidRPr="00E9207C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 w:rsidRPr="00E9207C">
              <w:rPr>
                <w:rFonts w:ascii="Arial" w:hAnsi="Arial" w:cs="Arial"/>
                <w:sz w:val="20"/>
                <w:szCs w:val="20"/>
              </w:rPr>
              <w:t xml:space="preserve"> suunnitelmallista sekä säännöllistä. Koulutuksia ja harjoituksia järjestetään organisaation kaikilla tasoilla huomioiden henkilöiden roolit sekä tehtävät osana organisaation varautumista. Koulutuksien ja harjoituksien toteutumista seurataan.</w:t>
            </w:r>
          </w:p>
          <w:p w:rsidR="004956F1" w:rsidRPr="004956F1" w:rsidRDefault="004956F1" w:rsidP="00DE13A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0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DE4B63">
        <w:trPr>
          <w:trHeight w:val="745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216" w:type="dxa"/>
          </w:tcPr>
          <w:p w:rsidR="00E23469" w:rsidRDefault="001B66C3" w:rsidP="00DE1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Riskienhallinnan perusteet on määritelty ja riskienhallinnassa on</w:t>
            </w:r>
            <w:r w:rsidRPr="001B66C3">
              <w:rPr>
                <w:rFonts w:ascii="Arial" w:hAnsi="Arial" w:cs="Arial"/>
                <w:sz w:val="20"/>
                <w:szCs w:val="20"/>
              </w:rPr>
              <w:t xml:space="preserve"> läpi organisaation yhteinen menettelytapa, joka on ohjeistettu. 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>Käytettävissä on organisaation kokonaisriskikartta tai vastaava. Kokonaisriskikartta ottaa huomioon myös toiminnalliset riskit ja niiden merkittävyyden.</w:t>
            </w:r>
          </w:p>
          <w:p w:rsidR="004956F1" w:rsidRPr="004956F1" w:rsidRDefault="004956F1" w:rsidP="00DE13A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0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4956F1">
        <w:trPr>
          <w:trHeight w:val="683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216" w:type="dxa"/>
          </w:tcPr>
          <w:p w:rsidR="00E23469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O</w:t>
            </w:r>
            <w:r w:rsidR="004956F1">
              <w:rPr>
                <w:rFonts w:ascii="Arial" w:hAnsi="Arial" w:cs="Arial"/>
                <w:sz w:val="20"/>
                <w:szCs w:val="20"/>
              </w:rPr>
              <w:t>rganisaatio on tunnistanut</w:t>
            </w:r>
            <w:r w:rsidRPr="00DE13A8">
              <w:rPr>
                <w:rFonts w:ascii="Arial" w:hAnsi="Arial" w:cs="Arial"/>
                <w:sz w:val="20"/>
                <w:szCs w:val="20"/>
              </w:rPr>
              <w:t xml:space="preserve"> dokumentoidusti toiminnan kannalta keskeiset sidosryhmä</w:t>
            </w:r>
            <w:r w:rsidR="004956F1">
              <w:rPr>
                <w:rFonts w:ascii="Arial" w:hAnsi="Arial" w:cs="Arial"/>
                <w:sz w:val="20"/>
                <w:szCs w:val="20"/>
              </w:rPr>
              <w:t>t ja ulkoiset palveluntuottajat</w:t>
            </w:r>
            <w:r w:rsidRPr="00DE13A8">
              <w:rPr>
                <w:rFonts w:ascii="Arial" w:hAnsi="Arial" w:cs="Arial"/>
                <w:sz w:val="20"/>
                <w:szCs w:val="20"/>
              </w:rPr>
              <w:t>. Varautumisvastuut, yhteistoimintajärjestelyt sekä varajärjestelyt häiriötilanteissa on sovittu ja kuvattu.</w:t>
            </w:r>
          </w:p>
          <w:p w:rsidR="004956F1" w:rsidRPr="004956F1" w:rsidRDefault="004956F1" w:rsidP="00DE13A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0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C81C42" w:rsidRDefault="00E23469" w:rsidP="00D83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34B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834B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834B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834B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834B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5A2C73">
        <w:trPr>
          <w:trHeight w:val="706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216" w:type="dxa"/>
          </w:tcPr>
          <w:p w:rsidR="004956F1" w:rsidRPr="005A2C73" w:rsidRDefault="0003107A" w:rsidP="00DE1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Varautumisen ja j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>atkuvuuden</w:t>
            </w:r>
            <w:r w:rsidR="004956F1">
              <w:rPr>
                <w:rFonts w:ascii="Arial" w:hAnsi="Arial" w:cs="Arial"/>
                <w:sz w:val="20"/>
                <w:szCs w:val="20"/>
              </w:rPr>
              <w:t>hallinnan toimintamallia / prosessia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 xml:space="preserve"> on arvioitu viimeisen kahden vuo</w:t>
            </w:r>
            <w:r w:rsidR="004956F1">
              <w:rPr>
                <w:rFonts w:ascii="Arial" w:hAnsi="Arial" w:cs="Arial"/>
                <w:sz w:val="20"/>
                <w:szCs w:val="20"/>
              </w:rPr>
              <w:t xml:space="preserve">den aikana. Varautumisen ja 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 xml:space="preserve">jatkuvuudenhallinnan </w:t>
            </w:r>
            <w:r w:rsidR="004956F1">
              <w:rPr>
                <w:rFonts w:ascii="Arial" w:hAnsi="Arial" w:cs="Arial"/>
                <w:sz w:val="20"/>
                <w:szCs w:val="20"/>
              </w:rPr>
              <w:t xml:space="preserve">kannalta 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>keskeiset kehittämiskohteet</w:t>
            </w:r>
            <w:r w:rsidR="004956F1">
              <w:rPr>
                <w:rFonts w:ascii="Arial" w:hAnsi="Arial" w:cs="Arial"/>
                <w:sz w:val="20"/>
                <w:szCs w:val="20"/>
              </w:rPr>
              <w:t xml:space="preserve"> ovat tiedossa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C81C42" w:rsidRDefault="00E23469" w:rsidP="00D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81C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23469" w:rsidRDefault="00E23469"/>
    <w:p w:rsidR="008E40E2" w:rsidRPr="008E40E2" w:rsidRDefault="008E40E2" w:rsidP="008E40E2">
      <w:pPr>
        <w:rPr>
          <w:rFonts w:ascii="Arial" w:hAnsi="Arial" w:cs="Arial"/>
          <w:b/>
          <w:sz w:val="22"/>
          <w:szCs w:val="22"/>
        </w:rPr>
      </w:pPr>
      <w:r w:rsidRPr="008E40E2">
        <w:rPr>
          <w:rFonts w:ascii="Arial" w:hAnsi="Arial" w:cs="Arial"/>
          <w:b/>
          <w:sz w:val="22"/>
          <w:szCs w:val="22"/>
        </w:rPr>
        <w:t>JATKE - Pikatestin tulosten tulkinta:</w:t>
      </w: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</w:p>
    <w:p w:rsid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sz w:val="22"/>
          <w:szCs w:val="22"/>
        </w:rPr>
        <w:t>Laskekaa kustakin kysymyksestä saadut pisteet yhteen. Mitä suurempi pistemäärä, sitä suure</w:t>
      </w:r>
      <w:r w:rsidR="001C6A5D">
        <w:rPr>
          <w:rFonts w:ascii="Arial" w:hAnsi="Arial" w:cs="Arial"/>
          <w:sz w:val="22"/>
          <w:szCs w:val="22"/>
        </w:rPr>
        <w:t>mpi riski on, etteivät</w:t>
      </w:r>
      <w:r w:rsidRPr="008E40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varautumisenne ja </w:t>
      </w:r>
      <w:r w:rsidRPr="008E40E2">
        <w:rPr>
          <w:rFonts w:ascii="Arial" w:hAnsi="Arial" w:cs="Arial"/>
          <w:sz w:val="22"/>
          <w:szCs w:val="22"/>
        </w:rPr>
        <w:t>jatkuvuuden</w:t>
      </w:r>
      <w:r w:rsidR="001C6A5D">
        <w:rPr>
          <w:rFonts w:ascii="Arial" w:hAnsi="Arial" w:cs="Arial"/>
          <w:sz w:val="22"/>
          <w:szCs w:val="22"/>
        </w:rPr>
        <w:t xml:space="preserve">hallintanne </w:t>
      </w:r>
      <w:r w:rsidRPr="008E40E2">
        <w:rPr>
          <w:rFonts w:ascii="Arial" w:hAnsi="Arial" w:cs="Arial"/>
          <w:sz w:val="22"/>
          <w:szCs w:val="22"/>
        </w:rPr>
        <w:t xml:space="preserve">ole kunnossa. Riskipisteiden avulla voitte arvioida tarvetta analysoida ja kehittää </w:t>
      </w:r>
      <w:r>
        <w:rPr>
          <w:rFonts w:ascii="Arial" w:hAnsi="Arial" w:cs="Arial"/>
          <w:sz w:val="22"/>
          <w:szCs w:val="22"/>
        </w:rPr>
        <w:t xml:space="preserve">varautumista ja </w:t>
      </w:r>
      <w:r w:rsidRPr="008E40E2">
        <w:rPr>
          <w:rFonts w:ascii="Arial" w:hAnsi="Arial" w:cs="Arial"/>
          <w:sz w:val="22"/>
          <w:szCs w:val="22"/>
        </w:rPr>
        <w:t>jatkuvuudenhallintaa tarkemmin.</w:t>
      </w: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sz w:val="22"/>
          <w:szCs w:val="22"/>
        </w:rPr>
        <w:t xml:space="preserve">Kunnossa vastauksesta </w:t>
      </w:r>
      <w:r w:rsidRPr="008E40E2">
        <w:rPr>
          <w:rFonts w:ascii="Arial" w:hAnsi="Arial" w:cs="Arial"/>
          <w:b/>
          <w:sz w:val="22"/>
          <w:szCs w:val="22"/>
        </w:rPr>
        <w:t>0 pistettä</w:t>
      </w: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sz w:val="22"/>
          <w:szCs w:val="22"/>
        </w:rPr>
        <w:t xml:space="preserve">Selvitettävä vastauksesta </w:t>
      </w:r>
      <w:r w:rsidRPr="008E40E2">
        <w:rPr>
          <w:rFonts w:ascii="Arial" w:hAnsi="Arial" w:cs="Arial"/>
          <w:b/>
          <w:sz w:val="22"/>
          <w:szCs w:val="22"/>
        </w:rPr>
        <w:t>2 pistettä</w:t>
      </w:r>
    </w:p>
    <w:p w:rsidR="008E40E2" w:rsidRPr="008E40E2" w:rsidRDefault="008E40E2" w:rsidP="008E40E2">
      <w:pPr>
        <w:rPr>
          <w:rFonts w:ascii="Arial" w:hAnsi="Arial" w:cs="Arial"/>
          <w:b/>
          <w:sz w:val="22"/>
          <w:szCs w:val="22"/>
        </w:rPr>
      </w:pPr>
      <w:r w:rsidRPr="008E40E2">
        <w:rPr>
          <w:rFonts w:ascii="Arial" w:hAnsi="Arial" w:cs="Arial"/>
          <w:sz w:val="22"/>
          <w:szCs w:val="22"/>
        </w:rPr>
        <w:t xml:space="preserve">Ei kunnossa vastauksesta </w:t>
      </w:r>
      <w:r w:rsidRPr="008E40E2">
        <w:rPr>
          <w:rFonts w:ascii="Arial" w:hAnsi="Arial" w:cs="Arial"/>
          <w:b/>
          <w:sz w:val="22"/>
          <w:szCs w:val="22"/>
        </w:rPr>
        <w:t>4 pistettä</w:t>
      </w:r>
    </w:p>
    <w:p w:rsidR="008E40E2" w:rsidRPr="008E40E2" w:rsidRDefault="008E40E2" w:rsidP="008E40E2">
      <w:pPr>
        <w:rPr>
          <w:rFonts w:ascii="Arial" w:hAnsi="Arial" w:cs="Arial"/>
          <w:b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b/>
          <w:sz w:val="22"/>
          <w:szCs w:val="22"/>
        </w:rPr>
        <w:t xml:space="preserve">Organisaatiomme kokonaispistemäärä: </w:t>
      </w:r>
      <w:r w:rsidRPr="00C81C42">
        <w:rPr>
          <w:rFonts w:ascii="Arial" w:hAnsi="Arial" w:cs="Arial"/>
          <w:b/>
          <w:sz w:val="22"/>
          <w:szCs w:val="22"/>
        </w:rPr>
        <w:fldChar w:fldCharType="begin">
          <w:ffData>
            <w:name w:val="Teksti86"/>
            <w:enabled/>
            <w:calcOnExit w:val="0"/>
            <w:textInput/>
          </w:ffData>
        </w:fldChar>
      </w:r>
      <w:r w:rsidRPr="00C81C4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81C42">
        <w:rPr>
          <w:rFonts w:ascii="Arial" w:hAnsi="Arial" w:cs="Arial"/>
          <w:b/>
          <w:sz w:val="22"/>
          <w:szCs w:val="22"/>
        </w:rPr>
      </w:r>
      <w:r w:rsidRPr="00C81C42">
        <w:rPr>
          <w:rFonts w:ascii="Arial" w:hAnsi="Arial" w:cs="Arial"/>
          <w:b/>
          <w:sz w:val="22"/>
          <w:szCs w:val="22"/>
        </w:rPr>
        <w:fldChar w:fldCharType="separate"/>
      </w:r>
      <w:r w:rsidRPr="00C81C42">
        <w:rPr>
          <w:rFonts w:ascii="Arial" w:hAnsi="Arial" w:cs="Arial"/>
          <w:b/>
          <w:sz w:val="22"/>
          <w:szCs w:val="22"/>
        </w:rPr>
        <w:t> </w:t>
      </w:r>
      <w:r w:rsidRPr="00C81C42">
        <w:rPr>
          <w:rFonts w:ascii="Arial" w:hAnsi="Arial" w:cs="Arial"/>
          <w:b/>
          <w:sz w:val="22"/>
          <w:szCs w:val="22"/>
        </w:rPr>
        <w:t> </w:t>
      </w:r>
      <w:r w:rsidRPr="00C81C42">
        <w:rPr>
          <w:rFonts w:ascii="Arial" w:hAnsi="Arial" w:cs="Arial"/>
          <w:b/>
          <w:sz w:val="22"/>
          <w:szCs w:val="22"/>
        </w:rPr>
        <w:t> </w:t>
      </w:r>
      <w:r w:rsidRPr="00C81C42">
        <w:rPr>
          <w:rFonts w:ascii="Arial" w:hAnsi="Arial" w:cs="Arial"/>
          <w:b/>
          <w:sz w:val="22"/>
          <w:szCs w:val="22"/>
        </w:rPr>
        <w:t> </w:t>
      </w:r>
      <w:r w:rsidRPr="00C81C42">
        <w:rPr>
          <w:rFonts w:ascii="Arial" w:hAnsi="Arial" w:cs="Arial"/>
          <w:b/>
          <w:sz w:val="22"/>
          <w:szCs w:val="22"/>
        </w:rPr>
        <w:t> </w:t>
      </w:r>
      <w:r w:rsidRPr="00C81C42">
        <w:rPr>
          <w:rFonts w:ascii="Arial" w:hAnsi="Arial" w:cs="Arial"/>
          <w:b/>
          <w:sz w:val="22"/>
          <w:szCs w:val="22"/>
        </w:rPr>
        <w:fldChar w:fldCharType="end"/>
      </w: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sz w:val="22"/>
          <w:szCs w:val="22"/>
        </w:rPr>
        <w:t>Testin tulkinnassa voi käyttää seuraavia suuntaa antavia pisterajoja:</w:t>
      </w: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b/>
          <w:sz w:val="22"/>
          <w:szCs w:val="22"/>
        </w:rPr>
        <w:t>alle 8 pistettä</w:t>
      </w:r>
    </w:p>
    <w:p w:rsidR="008E40E2" w:rsidRPr="008E40E2" w:rsidRDefault="008E40E2" w:rsidP="008E40E2">
      <w:pPr>
        <w:spacing w:after="120"/>
        <w:rPr>
          <w:rFonts w:ascii="Arial" w:hAnsi="Arial" w:cs="Arial"/>
          <w:b/>
          <w:i/>
          <w:color w:val="00B050"/>
          <w:sz w:val="22"/>
          <w:szCs w:val="22"/>
        </w:rPr>
      </w:pPr>
      <w:r w:rsidRPr="008E40E2">
        <w:rPr>
          <w:rFonts w:ascii="Arial" w:hAnsi="Arial" w:cs="Arial"/>
          <w:b/>
          <w:i/>
          <w:color w:val="00B050"/>
          <w:sz w:val="22"/>
          <w:szCs w:val="22"/>
        </w:rPr>
        <w:t xml:space="preserve">pieni riski </w:t>
      </w:r>
    </w:p>
    <w:p w:rsidR="008E40E2" w:rsidRPr="008E40E2" w:rsidRDefault="008E40E2" w:rsidP="001C6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Varautumiseen ja </w:t>
      </w:r>
      <w:r w:rsidRPr="008E40E2">
        <w:rPr>
          <w:rFonts w:ascii="Arial" w:hAnsi="Arial" w:cs="Arial"/>
          <w:sz w:val="22"/>
          <w:szCs w:val="22"/>
        </w:rPr>
        <w:t>jatkuvuudenhallintaan on tietoisesti panostettu ja voitte jatkaa käytössä olevien toimintamallien</w:t>
      </w:r>
      <w:r w:rsidR="001C6A5D">
        <w:rPr>
          <w:rFonts w:ascii="Arial" w:hAnsi="Arial" w:cs="Arial"/>
          <w:sz w:val="22"/>
          <w:szCs w:val="22"/>
        </w:rPr>
        <w:t xml:space="preserve"> sekä menettelyiden</w:t>
      </w:r>
      <w:r w:rsidRPr="008E40E2">
        <w:rPr>
          <w:rFonts w:ascii="Arial" w:hAnsi="Arial" w:cs="Arial"/>
          <w:sz w:val="22"/>
          <w:szCs w:val="22"/>
        </w:rPr>
        <w:t xml:space="preserve"> mukaisesti</w:t>
      </w:r>
      <w:r>
        <w:rPr>
          <w:rFonts w:ascii="Arial" w:hAnsi="Arial" w:cs="Arial"/>
          <w:sz w:val="22"/>
          <w:szCs w:val="22"/>
        </w:rPr>
        <w:t>.</w:t>
      </w:r>
    </w:p>
    <w:p w:rsidR="008E40E2" w:rsidRDefault="008E40E2" w:rsidP="008E40E2">
      <w:pPr>
        <w:rPr>
          <w:rFonts w:ascii="Arial" w:hAnsi="Arial" w:cs="Arial"/>
          <w:sz w:val="22"/>
          <w:szCs w:val="22"/>
        </w:rPr>
      </w:pPr>
    </w:p>
    <w:p w:rsidR="001C6A5D" w:rsidRPr="008E40E2" w:rsidRDefault="001C6A5D" w:rsidP="008E40E2">
      <w:pPr>
        <w:rPr>
          <w:rFonts w:ascii="Arial" w:hAnsi="Arial" w:cs="Arial"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b/>
          <w:sz w:val="22"/>
          <w:szCs w:val="22"/>
        </w:rPr>
        <w:t>8 - 14 pistettä</w:t>
      </w:r>
    </w:p>
    <w:p w:rsidR="008E40E2" w:rsidRPr="008E40E2" w:rsidRDefault="008E40E2" w:rsidP="008E40E2">
      <w:pPr>
        <w:spacing w:after="120"/>
        <w:rPr>
          <w:rFonts w:ascii="Arial" w:hAnsi="Arial" w:cs="Arial"/>
          <w:b/>
          <w:i/>
          <w:color w:val="92D050"/>
          <w:sz w:val="22"/>
          <w:szCs w:val="22"/>
        </w:rPr>
      </w:pPr>
      <w:r w:rsidRPr="008E40E2">
        <w:rPr>
          <w:rFonts w:ascii="Arial" w:hAnsi="Arial" w:cs="Arial"/>
          <w:b/>
          <w:i/>
          <w:color w:val="92D050"/>
          <w:sz w:val="22"/>
          <w:szCs w:val="22"/>
        </w:rPr>
        <w:t>riski jonkin verran lisääntynyt</w:t>
      </w: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Varautumisessa ja </w:t>
      </w:r>
      <w:r w:rsidRPr="008E40E2">
        <w:rPr>
          <w:rFonts w:ascii="Arial" w:hAnsi="Arial" w:cs="Arial"/>
          <w:sz w:val="22"/>
          <w:szCs w:val="22"/>
        </w:rPr>
        <w:t>jatkuvuudenhallinnassa on yksittäisiä puutteita, jotka kannattaa korjata</w:t>
      </w:r>
      <w:r>
        <w:rPr>
          <w:rFonts w:ascii="Arial" w:hAnsi="Arial" w:cs="Arial"/>
          <w:sz w:val="22"/>
          <w:szCs w:val="22"/>
        </w:rPr>
        <w:t>.</w:t>
      </w:r>
    </w:p>
    <w:p w:rsidR="008E40E2" w:rsidRDefault="008E40E2" w:rsidP="008E40E2">
      <w:pPr>
        <w:rPr>
          <w:rFonts w:ascii="Arial" w:hAnsi="Arial" w:cs="Arial"/>
          <w:sz w:val="22"/>
          <w:szCs w:val="22"/>
        </w:rPr>
      </w:pPr>
    </w:p>
    <w:p w:rsidR="001C6A5D" w:rsidRPr="008E40E2" w:rsidRDefault="001C6A5D" w:rsidP="008E40E2">
      <w:pPr>
        <w:rPr>
          <w:rFonts w:ascii="Arial" w:hAnsi="Arial" w:cs="Arial"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b/>
          <w:sz w:val="22"/>
          <w:szCs w:val="22"/>
        </w:rPr>
        <w:t>15 - 25 pistettä</w:t>
      </w:r>
    </w:p>
    <w:p w:rsidR="008E40E2" w:rsidRPr="008E40E2" w:rsidRDefault="008E40E2" w:rsidP="008E40E2">
      <w:pPr>
        <w:spacing w:after="120"/>
        <w:rPr>
          <w:rFonts w:ascii="Arial" w:hAnsi="Arial" w:cs="Arial"/>
          <w:b/>
          <w:i/>
          <w:color w:val="FFC000"/>
          <w:sz w:val="22"/>
          <w:szCs w:val="22"/>
        </w:rPr>
      </w:pPr>
      <w:r w:rsidRPr="008E40E2">
        <w:rPr>
          <w:rFonts w:ascii="Arial" w:hAnsi="Arial" w:cs="Arial"/>
          <w:b/>
          <w:i/>
          <w:color w:val="FFC000"/>
          <w:sz w:val="22"/>
          <w:szCs w:val="22"/>
        </w:rPr>
        <w:t>riski kohtalainen</w:t>
      </w: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Varautumisessa ja </w:t>
      </w:r>
      <w:r w:rsidRPr="008E40E2">
        <w:rPr>
          <w:rFonts w:ascii="Arial" w:hAnsi="Arial" w:cs="Arial"/>
          <w:sz w:val="22"/>
          <w:szCs w:val="22"/>
        </w:rPr>
        <w:t xml:space="preserve">jatkuvuudenhallinnassa on selkeitä puutteita, suositeltavaa analysoida </w:t>
      </w:r>
      <w:r>
        <w:rPr>
          <w:rFonts w:ascii="Arial" w:hAnsi="Arial" w:cs="Arial"/>
          <w:sz w:val="22"/>
          <w:szCs w:val="22"/>
        </w:rPr>
        <w:t xml:space="preserve">varautumista ja </w:t>
      </w:r>
      <w:r w:rsidRPr="008E40E2">
        <w:rPr>
          <w:rFonts w:ascii="Arial" w:hAnsi="Arial" w:cs="Arial"/>
          <w:sz w:val="22"/>
          <w:szCs w:val="22"/>
        </w:rPr>
        <w:t xml:space="preserve">jatkuvuudenhallintaa </w:t>
      </w:r>
      <w:r w:rsidRPr="008E40E2">
        <w:rPr>
          <w:rFonts w:ascii="Arial" w:hAnsi="Arial" w:cs="Arial"/>
          <w:sz w:val="22"/>
          <w:szCs w:val="22"/>
        </w:rPr>
        <w:lastRenderedPageBreak/>
        <w:t>tarkemmilla kypsyysanalyysimalleilla</w:t>
      </w:r>
      <w:r>
        <w:rPr>
          <w:rFonts w:ascii="Arial" w:hAnsi="Arial" w:cs="Arial"/>
          <w:sz w:val="22"/>
          <w:szCs w:val="22"/>
        </w:rPr>
        <w:t xml:space="preserve"> (esimerkiksi KUJA-arviointimalli</w:t>
      </w:r>
      <w:r w:rsidR="00F15596">
        <w:rPr>
          <w:rFonts w:ascii="Arial" w:hAnsi="Arial" w:cs="Arial"/>
          <w:sz w:val="22"/>
          <w:szCs w:val="22"/>
        </w:rPr>
        <w:t xml:space="preserve"> tai HUOVI-kypsyysanalyysi</w:t>
      </w:r>
      <w:r>
        <w:rPr>
          <w:rFonts w:ascii="Arial" w:hAnsi="Arial" w:cs="Arial"/>
          <w:sz w:val="22"/>
          <w:szCs w:val="22"/>
        </w:rPr>
        <w:t>)</w:t>
      </w:r>
      <w:r w:rsidRPr="008E40E2">
        <w:rPr>
          <w:rFonts w:ascii="Arial" w:hAnsi="Arial" w:cs="Arial"/>
          <w:sz w:val="22"/>
          <w:szCs w:val="22"/>
        </w:rPr>
        <w:t xml:space="preserve"> sekä kehittää hallintamenetelmiä</w:t>
      </w:r>
      <w:r w:rsidR="001C6A5D">
        <w:rPr>
          <w:rFonts w:ascii="Arial" w:hAnsi="Arial" w:cs="Arial"/>
          <w:sz w:val="22"/>
          <w:szCs w:val="22"/>
        </w:rPr>
        <w:t>.</w:t>
      </w:r>
    </w:p>
    <w:p w:rsidR="008E40E2" w:rsidRDefault="008E40E2" w:rsidP="008E40E2">
      <w:pPr>
        <w:rPr>
          <w:rFonts w:ascii="Arial" w:hAnsi="Arial" w:cs="Arial"/>
          <w:sz w:val="22"/>
          <w:szCs w:val="22"/>
        </w:rPr>
      </w:pPr>
    </w:p>
    <w:p w:rsidR="001C6A5D" w:rsidRPr="008E40E2" w:rsidRDefault="001C6A5D" w:rsidP="008E40E2">
      <w:pPr>
        <w:rPr>
          <w:rFonts w:ascii="Arial" w:hAnsi="Arial" w:cs="Arial"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b/>
          <w:sz w:val="22"/>
          <w:szCs w:val="22"/>
        </w:rPr>
        <w:t>26 - 40 pistettä</w:t>
      </w:r>
    </w:p>
    <w:p w:rsidR="008E40E2" w:rsidRPr="008E40E2" w:rsidRDefault="008E40E2" w:rsidP="008E40E2">
      <w:pPr>
        <w:spacing w:after="120"/>
        <w:rPr>
          <w:rFonts w:ascii="Arial" w:hAnsi="Arial" w:cs="Arial"/>
          <w:b/>
          <w:i/>
          <w:color w:val="FF0000"/>
          <w:sz w:val="22"/>
          <w:szCs w:val="22"/>
        </w:rPr>
      </w:pPr>
      <w:r w:rsidRPr="008E40E2">
        <w:rPr>
          <w:rFonts w:ascii="Arial" w:hAnsi="Arial" w:cs="Arial"/>
          <w:b/>
          <w:i/>
          <w:color w:val="FF0000"/>
          <w:sz w:val="22"/>
          <w:szCs w:val="22"/>
        </w:rPr>
        <w:t>riski suuri</w:t>
      </w:r>
    </w:p>
    <w:p w:rsidR="001C6A5D" w:rsidRDefault="001C6A5D" w:rsidP="008E40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E40E2">
        <w:rPr>
          <w:rFonts w:ascii="Arial" w:hAnsi="Arial" w:cs="Arial"/>
          <w:sz w:val="22"/>
          <w:szCs w:val="22"/>
        </w:rPr>
        <w:t xml:space="preserve">arautumisessa ja </w:t>
      </w:r>
      <w:r w:rsidR="008E40E2" w:rsidRPr="008E40E2">
        <w:rPr>
          <w:rFonts w:ascii="Arial" w:hAnsi="Arial" w:cs="Arial"/>
          <w:sz w:val="22"/>
          <w:szCs w:val="22"/>
        </w:rPr>
        <w:t>jatkuvuudenhallinnassa on selkeitä ja vakavia puutteita jotka saattavat johtaa häiriötilanteessa vakaviin seurauksiin, erittäin suositeltavaa alkaa välittömästi rakentaa jatkuvuudenhallinnan kehittämisenpolkua sekä hallintamenetelmiä tarkemmilla kypsyysanalyysi- ja suunnittelumalleilla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E40E2" w:rsidRPr="008E40E2" w:rsidRDefault="001C6A5D" w:rsidP="008E40E2">
      <w:pPr>
        <w:rPr>
          <w:rFonts w:ascii="Arial" w:hAnsi="Arial" w:cs="Arial"/>
          <w:sz w:val="22"/>
          <w:szCs w:val="22"/>
        </w:rPr>
      </w:pPr>
      <w:r w:rsidRPr="001C6A5D">
        <w:rPr>
          <w:rFonts w:ascii="Arial" w:hAnsi="Arial" w:cs="Arial"/>
          <w:sz w:val="22"/>
          <w:szCs w:val="22"/>
        </w:rPr>
        <w:t>(esimerkiksi KUJA-arviointimalli</w:t>
      </w:r>
      <w:r w:rsidR="00F15596" w:rsidRPr="00F15596">
        <w:rPr>
          <w:rFonts w:ascii="Arial" w:hAnsi="Arial" w:cs="Arial"/>
          <w:sz w:val="22"/>
          <w:szCs w:val="22"/>
        </w:rPr>
        <w:t xml:space="preserve"> </w:t>
      </w:r>
      <w:r w:rsidR="00F15596">
        <w:rPr>
          <w:rFonts w:ascii="Arial" w:hAnsi="Arial" w:cs="Arial"/>
          <w:sz w:val="22"/>
          <w:szCs w:val="22"/>
        </w:rPr>
        <w:t>tai</w:t>
      </w:r>
      <w:r w:rsidR="00F15596" w:rsidRPr="00F15596">
        <w:rPr>
          <w:rFonts w:ascii="Arial" w:hAnsi="Arial" w:cs="Arial"/>
          <w:sz w:val="22"/>
          <w:szCs w:val="22"/>
        </w:rPr>
        <w:t xml:space="preserve"> HUOVI-kypsyysanalyysi</w:t>
      </w:r>
      <w:r w:rsidRPr="001C6A5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E23469" w:rsidRDefault="00E23469"/>
    <w:sectPr w:rsidR="00E23469" w:rsidSect="00E23469">
      <w:footerReference w:type="default" r:id="rId1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B4" w:rsidRDefault="002240B4" w:rsidP="002240B4">
      <w:r>
        <w:separator/>
      </w:r>
    </w:p>
  </w:endnote>
  <w:endnote w:type="continuationSeparator" w:id="0">
    <w:p w:rsidR="002240B4" w:rsidRDefault="002240B4" w:rsidP="0022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B4" w:rsidRDefault="002240B4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61C9B" wp14:editId="63445C52">
              <wp:simplePos x="0" y="0"/>
              <wp:positionH relativeFrom="column">
                <wp:posOffset>8267065</wp:posOffset>
              </wp:positionH>
              <wp:positionV relativeFrom="paragraph">
                <wp:posOffset>33655</wp:posOffset>
              </wp:positionV>
              <wp:extent cx="1514475" cy="342900"/>
              <wp:effectExtent l="0" t="0" r="9525" b="0"/>
              <wp:wrapNone/>
              <wp:docPr id="2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342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40B4" w:rsidRPr="00F41A08" w:rsidRDefault="002240B4" w:rsidP="002240B4">
                          <w:pPr>
                            <w:rPr>
                              <w:color w:val="A6A6A6" w:themeColor="background1" w:themeShade="A6"/>
                            </w:rPr>
                          </w:pPr>
                          <w:r w:rsidRPr="00F41A08">
                            <w:rPr>
                              <w:rFonts w:cstheme="minorHAnsi"/>
                              <w:color w:val="A6A6A6" w:themeColor="background1" w:themeShade="A6"/>
                            </w:rPr>
                            <w:t>©</w:t>
                          </w:r>
                          <w:r w:rsidRPr="00F41A08">
                            <w:rPr>
                              <w:color w:val="A6A6A6" w:themeColor="background1" w:themeShade="A6"/>
                            </w:rPr>
                            <w:t xml:space="preserve"> </w:t>
                          </w:r>
                          <w:r>
                            <w:rPr>
                              <w:color w:val="A6A6A6" w:themeColor="background1" w:themeShade="A6"/>
                            </w:rPr>
                            <w:t xml:space="preserve">2015 </w:t>
                          </w:r>
                          <w:r w:rsidRPr="00F41A08">
                            <w:rPr>
                              <w:color w:val="A6A6A6" w:themeColor="background1" w:themeShade="A6"/>
                            </w:rPr>
                            <w:t>Jaakko Pekki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61C9B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650.95pt;margin-top:2.65pt;width:11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" fillcolor="window" stroked="f" strokeweight=".5pt">
              <v:path arrowok="t"/>
              <v:textbox>
                <w:txbxContent>
                  <w:p w:rsidR="002240B4" w:rsidRPr="00F41A08" w:rsidRDefault="002240B4" w:rsidP="002240B4">
                    <w:pPr>
                      <w:rPr>
                        <w:color w:val="A6A6A6" w:themeColor="background1" w:themeShade="A6"/>
                      </w:rPr>
                    </w:pPr>
                    <w:r w:rsidRPr="00F41A08">
                      <w:rPr>
                        <w:rFonts w:cstheme="minorHAnsi"/>
                        <w:color w:val="A6A6A6" w:themeColor="background1" w:themeShade="A6"/>
                      </w:rPr>
                      <w:t>©</w:t>
                    </w:r>
                    <w:r w:rsidRPr="00F41A08">
                      <w:rPr>
                        <w:color w:val="A6A6A6" w:themeColor="background1" w:themeShade="A6"/>
                      </w:rPr>
                      <w:t xml:space="preserve"> </w:t>
                    </w:r>
                    <w:r>
                      <w:rPr>
                        <w:color w:val="A6A6A6" w:themeColor="background1" w:themeShade="A6"/>
                      </w:rPr>
                      <w:t xml:space="preserve">2015 </w:t>
                    </w:r>
                    <w:r w:rsidRPr="00F41A08">
                      <w:rPr>
                        <w:color w:val="A6A6A6" w:themeColor="background1" w:themeShade="A6"/>
                      </w:rPr>
                      <w:t>Jaakko Pekki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B4" w:rsidRDefault="002240B4" w:rsidP="002240B4">
      <w:r>
        <w:separator/>
      </w:r>
    </w:p>
  </w:footnote>
  <w:footnote w:type="continuationSeparator" w:id="0">
    <w:p w:rsidR="002240B4" w:rsidRDefault="002240B4" w:rsidP="0022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3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4"/>
  </w:num>
  <w:num w:numId="16">
    <w:abstractNumId w:val="3"/>
  </w:num>
  <w:num w:numId="17">
    <w:abstractNumId w:val="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4"/>
  </w:num>
  <w:num w:numId="24">
    <w:abstractNumId w:val="3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l9cn3rmY0HeEqQeVT5F7zMe4B0=" w:salt="IqAYmhILLojsQCRFYX/+Kw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69"/>
    <w:rsid w:val="0003107A"/>
    <w:rsid w:val="00036B7D"/>
    <w:rsid w:val="000B2123"/>
    <w:rsid w:val="000D03AE"/>
    <w:rsid w:val="001B66C3"/>
    <w:rsid w:val="001C6A5D"/>
    <w:rsid w:val="00214403"/>
    <w:rsid w:val="002240B4"/>
    <w:rsid w:val="00241673"/>
    <w:rsid w:val="00270B03"/>
    <w:rsid w:val="002B5710"/>
    <w:rsid w:val="002D0B75"/>
    <w:rsid w:val="002F32BB"/>
    <w:rsid w:val="00302662"/>
    <w:rsid w:val="00440A5F"/>
    <w:rsid w:val="004956F1"/>
    <w:rsid w:val="004B1DC2"/>
    <w:rsid w:val="00585B98"/>
    <w:rsid w:val="00587A80"/>
    <w:rsid w:val="005A2C73"/>
    <w:rsid w:val="007A02E2"/>
    <w:rsid w:val="008302D9"/>
    <w:rsid w:val="0084536E"/>
    <w:rsid w:val="008E40E2"/>
    <w:rsid w:val="00AD5C81"/>
    <w:rsid w:val="00B24E92"/>
    <w:rsid w:val="00BA7D53"/>
    <w:rsid w:val="00C81C42"/>
    <w:rsid w:val="00D834B3"/>
    <w:rsid w:val="00DE13A8"/>
    <w:rsid w:val="00DE4B63"/>
    <w:rsid w:val="00E23469"/>
    <w:rsid w:val="00E9207C"/>
    <w:rsid w:val="00F15596"/>
    <w:rsid w:val="00F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62319-CFE8-485E-B1DC-C59C7BEC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NormaaliWWW">
    <w:name w:val="Normal (Web)"/>
    <w:basedOn w:val="Normaali"/>
    <w:uiPriority w:val="99"/>
    <w:semiHidden/>
    <w:unhideWhenUsed/>
    <w:rsid w:val="000310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N2 Dokumentti" ma:contentTypeID="0x010100FB67A0028CB54352919050D117ADD96100488E86B197F7B344B1C5C6ECDCAE6297" ma:contentTypeVersion="8" ma:contentTypeDescription="KN2 Dokumentti sisältölaji." ma:contentTypeScope="" ma:versionID="d5dfcf7a7e385bbc3a1e13a9b1e9d271">
  <xsd:schema xmlns:xsd="http://www.w3.org/2001/XMLSchema" xmlns:xs="http://www.w3.org/2001/XMLSchema" xmlns:p="http://schemas.microsoft.com/office/2006/metadata/properties" xmlns:ns2="a86a36f1-5a8f-416f-bf33-cf6bc51d313a" xmlns:ns3="2ca64109-ff74-4a3f-8df8-1404b228dfda" xmlns:ns4="f674653e-f7ee-4492-bd39-da975c8607c5" targetNamespace="http://schemas.microsoft.com/office/2006/metadata/properties" ma:root="true" ma:fieldsID="7c2349090df3c877161d5ecabcfec02a" ns2:_="" ns3:_="" ns4:_="">
    <xsd:import namespace="a86a36f1-5a8f-416f-bf33-cf6bc51d313a"/>
    <xsd:import namespace="2ca64109-ff74-4a3f-8df8-1404b228dfda"/>
    <xsd:import namespace="f674653e-f7ee-4492-bd39-da975c8607c5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ExpertServiceTaxHTField0" minOccurs="0"/>
                <xsd:element ref="ns3:ThemeTaxHTField0" minOccurs="0"/>
                <xsd:element ref="ns3:KN2KeywordsTaxHTField0" minOccurs="0"/>
                <xsd:element ref="ns3:MunicipalityTaxHTField0" minOccurs="0"/>
                <xsd:element ref="ns3:KN2LanguageTaxHTField0" minOccurs="0"/>
                <xsd:element ref="ns4:KN2ArticleDateTime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ExpertServiceTaxHTField0" ma:index="9" ma:taxonomy="true" ma:internalName="ExpertServiceTaxHTField0" ma:taxonomyFieldName="ExpertService" ma:displayName="Asiantuntijapalvelut" ma:default="" ma:fieldId="{969cb6fd-1f4d-4c41-ae54-a504ad3b65cf}" ma:taxonomyMulti="true" ma:sspId="af6aced0-8844-4989-b18d-bf2834524db8" ma:termSetId="0f91e407-31c2-4981-adcd-3a992993f5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1" nillable="true" ma:taxonomy="true" ma:internalName="ThemeTaxHTField0" ma:taxonomyFieldName="Theme" ma:displayName="Teemat" ma:fieldId="{040ee926-e7cf-4076-a1f3-29b285211891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KeywordsTaxHTField0" ma:index="13" nillable="true" ma:taxonomy="true" ma:internalName="KN2KeywordsTaxHTField0" ma:taxonomyFieldName="KN2Keywords" ma:displayName="Asiasanat" ma:fieldId="{11851b79-a7e3-4a1d-bd9d-944d2d87b293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unicipalityTaxHTField0" ma:index="15" nillable="true" ma:taxonomy="true" ma:internalName="MunicipalityTaxHTField0" ma:taxonomyFieldName="Municipality" ma:displayName="Kunta" ma:fieldId="{4e88d9db-f7ea-4b86-8eef-f1494b580dd0}" ma:taxonomyMulti="true" ma:sspId="af6aced0-8844-4989-b18d-bf2834524db8" ma:termSetId="788596fa-2187-4349-9e27-21ebbd15ae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LanguageTaxHTField0" ma:index="17" nillable="true" ma:taxonomy="true" ma:internalName="KN2LanguageTaxHTField0" ma:taxonomyFieldName="KN2Language" ma:displayName="Kieli" ma:fieldId="{c18774ba-aa5a-42e7-a16a-d0ce5e6458ba}" ma:sspId="af6aced0-8844-4989-b18d-bf2834524db8" ma:termSetId="8851a166-5db3-4141-857a-f8e0095c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Luokituksen Kaikki-sarake" ma:description="" ma:hidden="true" ma:list="{04c7fbc9-91a9-4b02-980f-703bf088685b}" ma:internalName="TaxCatchAll" ma:showField="CatchAllData" ma:web="2ca64109-ff74-4a3f-8df8-1404b228d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4653e-f7ee-4492-bd39-da975c8607c5" elementFormDefault="qualified">
    <xsd:import namespace="http://schemas.microsoft.com/office/2006/documentManagement/types"/>
    <xsd:import namespace="http://schemas.microsoft.com/office/infopath/2007/PartnerControls"/>
    <xsd:element name="KN2ArticleDateTime" ma:index="19" nillable="true" ma:displayName="Aika" ma:default="[today]" ma:format="DateTime" ma:internalName="KN2ArticleDate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nicipalityTaxHTField0 xmlns="2ca64109-ff74-4a3f-8df8-1404b228dfda">
      <Terms xmlns="http://schemas.microsoft.com/office/infopath/2007/PartnerControls"/>
    </MunicipalityTaxHTField0>
    <ExpertService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Tekniikka</TermName>
          <TermId xmlns="http://schemas.microsoft.com/office/infopath/2007/PartnerControls">b80039d3-68c7-461b-9446-3501d1540e2f</TermId>
        </TermInfo>
        <TermInfo xmlns="http://schemas.microsoft.com/office/infopath/2007/PartnerControls">
          <TermName xmlns="http://schemas.microsoft.com/office/infopath/2007/PartnerControls">Alueet ja elinkeinot</TermName>
          <TermId xmlns="http://schemas.microsoft.com/office/infopath/2007/PartnerControls">f815d556-d680-4c81-a692-d3c7122cd426</TermId>
        </TermInfo>
      </Terms>
    </ExpertServiceTaxHTField0>
    <KN2KeywordsTaxHTField0 xmlns="2ca64109-ff74-4a3f-8df8-1404b228dfda">
      <Terms xmlns="http://schemas.microsoft.com/office/infopath/2007/PartnerControls"/>
    </KN2KeywordsTaxHTField0>
    <KN2LanguageTaxHTField0 xmlns="2ca64109-ff74-4a3f-8df8-1404b228dfda">
      <Terms xmlns="http://schemas.microsoft.com/office/infopath/2007/PartnerControls"/>
    </KN2LanguageTaxHTField0>
    <KN2ArticleDateTime xmlns="f674653e-f7ee-4492-bd39-da975c8607c5">2015-08-27T07:08:00+00:00</KN2ArticleDateTime>
    <KN2Description xmlns="a86a36f1-5a8f-416f-bf33-cf6bc51d313a" xsi:nil="true"/>
    <ThemeTaxHTField0 xmlns="2ca64109-ff74-4a3f-8df8-1404b228dfda">
      <Terms xmlns="http://schemas.microsoft.com/office/infopath/2007/PartnerControls"/>
    </ThemeTaxHTField0>
    <TaxCatchAll xmlns="2ca64109-ff74-4a3f-8df8-1404b228dfda">
      <Value>28</Value>
      <Value>1</Value>
    </TaxCatchAll>
    <_dlc_DocId xmlns="2ca64109-ff74-4a3f-8df8-1404b228dfda">G94TWSLYV3F3-11018-14</_dlc_DocId>
    <_dlc_DocIdUrl xmlns="2ca64109-ff74-4a3f-8df8-1404b228dfda">
      <Url>http://kl-spfarm1/fi/palvelualueet/projektit/kuja/_layouts/DocIdRedir.aspx?ID=G94TWSLYV3F3-11018-14</Url>
      <Description>G94TWSLYV3F3-11018-14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6BF3-446B-4477-85D2-137E00327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a36f1-5a8f-416f-bf33-cf6bc51d313a"/>
    <ds:schemaRef ds:uri="2ca64109-ff74-4a3f-8df8-1404b228dfda"/>
    <ds:schemaRef ds:uri="f674653e-f7ee-4492-bd39-da975c860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8518F-FE3E-4341-8A2B-91F03E3610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E56279-7FB8-46EA-8BA5-CAEFFABF6496}">
  <ds:schemaRefs>
    <ds:schemaRef ds:uri="f674653e-f7ee-4492-bd39-da975c8607c5"/>
    <ds:schemaRef ds:uri="2ca64109-ff74-4a3f-8df8-1404b228dfda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86a36f1-5a8f-416f-bf33-cf6bc51d313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D262FE0-2A09-4F7A-9EC8-F55069078B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A45545-AE2E-461C-A328-78438527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4577</Characters>
  <Application>Microsoft Office Word</Application>
  <DocSecurity>4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PIKATESTI Jatkuvuudenhallinnan kehittämistoimenpiteiden </vt:lpstr>
    </vt:vector>
  </TitlesOfParts>
  <Company>Suomen Kuntaliitto ry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PIKATESTI Jatkuvuudenhallinnan kehittämistoimenpiteiden</dc:title>
  <dc:creator>Pekki Jaakko</dc:creator>
  <cp:lastModifiedBy>Tanskanen Marketta</cp:lastModifiedBy>
  <cp:revision>2</cp:revision>
  <dcterms:created xsi:type="dcterms:W3CDTF">2017-03-03T14:22:00Z</dcterms:created>
  <dcterms:modified xsi:type="dcterms:W3CDTF">2017-03-03T14:22:00Z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0x010100FB67A0028CB54352919050D117ADD96100488E86B197F7B344B1C5C6ECDCAE6297</vt:lpwstr>
  </property>
  <property fmtid="{D5CDD505-2E9C-101B-9397-08002B2CF9AE}" pid="3" name="_dlc_DocIdItemGuid">
    <vt:lpwstr>63794161-5c5e-4a92-8919-ec8dd07c6c3a</vt:lpwstr>
  </property>
  <property fmtid="{D5CDD505-2E9C-101B-9397-08002B2CF9AE}" pid="4" name="KN2Keywords">
    <vt:lpwstr/>
  </property>
  <property fmtid="{D5CDD505-2E9C-101B-9397-08002B2CF9AE}" pid="5" name="Theme">
    <vt:lpwstr/>
  </property>
  <property fmtid="{D5CDD505-2E9C-101B-9397-08002B2CF9AE}" pid="6" name="KN2Language">
    <vt:lpwstr/>
  </property>
  <property fmtid="{D5CDD505-2E9C-101B-9397-08002B2CF9AE}" pid="7" name="Municipality">
    <vt:lpwstr/>
  </property>
  <property fmtid="{D5CDD505-2E9C-101B-9397-08002B2CF9AE}" pid="8" name="ExpertService">
    <vt:lpwstr>28;#Tekniikka|b80039d3-68c7-461b-9446-3501d1540e2f;#1;#Alueet ja elinkeinot|f815d556-d680-4c81-a692-d3c7122cd426</vt:lpwstr>
  </property>
</Properties>
</file>