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DEC3D" w14:textId="3D94FDCD" w:rsidR="008557F1" w:rsidRPr="008B100F" w:rsidRDefault="0080698C" w:rsidP="002A0DF1">
      <w:pPr>
        <w:rPr>
          <w:rFonts w:ascii="Verdana" w:hAnsi="Verdana"/>
          <w:b/>
          <w:sz w:val="24"/>
          <w:szCs w:val="24"/>
        </w:rPr>
      </w:pPr>
      <w:r>
        <w:rPr>
          <w:rFonts w:ascii="Verdana" w:hAnsi="Verdana"/>
          <w:b/>
          <w:sz w:val="24"/>
          <w:szCs w:val="24"/>
        </w:rPr>
        <w:t xml:space="preserve">Lisätilaus 41§ </w:t>
      </w:r>
    </w:p>
    <w:p w14:paraId="0CA03553" w14:textId="7135660C" w:rsidR="007E3738" w:rsidRDefault="007E3738" w:rsidP="007E3738">
      <w:pPr>
        <w:numPr>
          <w:ilvl w:val="0"/>
          <w:numId w:val="14"/>
        </w:numPr>
        <w:contextualSpacing/>
        <w:jc w:val="both"/>
        <w:rPr>
          <w:rFonts w:ascii="Verdana" w:hAnsi="Verdana"/>
          <w:sz w:val="20"/>
          <w:szCs w:val="20"/>
        </w:rPr>
      </w:pPr>
      <w:r w:rsidRPr="007E3738">
        <w:rPr>
          <w:rFonts w:ascii="Verdana" w:hAnsi="Verdana"/>
          <w:sz w:val="20"/>
          <w:szCs w:val="20"/>
        </w:rPr>
        <w:t xml:space="preserve">OHJE: Taulukon kohdassa ”KYSYMYS” on kysytty kysymyksiä, joiden avulla hankintayksikkö voi arvioida, onko </w:t>
      </w:r>
      <w:r w:rsidR="008B100F">
        <w:rPr>
          <w:rFonts w:ascii="Verdana" w:hAnsi="Verdana"/>
          <w:sz w:val="20"/>
          <w:szCs w:val="20"/>
        </w:rPr>
        <w:t>hankinnassa</w:t>
      </w:r>
      <w:r w:rsidRPr="007E3738">
        <w:rPr>
          <w:rFonts w:ascii="Verdana" w:hAnsi="Verdana"/>
          <w:sz w:val="20"/>
          <w:szCs w:val="20"/>
        </w:rPr>
        <w:t xml:space="preserve"> käsillä tilanne, joka oikeuttaa </w:t>
      </w:r>
      <w:r w:rsidR="008B100F">
        <w:rPr>
          <w:rFonts w:ascii="Verdana" w:hAnsi="Verdana"/>
          <w:sz w:val="20"/>
          <w:szCs w:val="20"/>
        </w:rPr>
        <w:t>hankintayksikön</w:t>
      </w:r>
      <w:r w:rsidRPr="007E3738">
        <w:rPr>
          <w:rFonts w:ascii="Verdana" w:hAnsi="Verdana"/>
          <w:sz w:val="20"/>
          <w:szCs w:val="20"/>
        </w:rPr>
        <w:t xml:space="preserve"> tekemään suorahankinnan </w:t>
      </w:r>
      <w:r w:rsidR="003D4E3B">
        <w:rPr>
          <w:rFonts w:ascii="Verdana" w:hAnsi="Verdana"/>
          <w:sz w:val="20"/>
          <w:szCs w:val="20"/>
        </w:rPr>
        <w:t>lisätilaus</w:t>
      </w:r>
      <w:r w:rsidR="009C2D8F">
        <w:rPr>
          <w:rFonts w:ascii="Verdana" w:hAnsi="Verdana"/>
          <w:sz w:val="20"/>
          <w:szCs w:val="20"/>
        </w:rPr>
        <w:t>-suorahankintaperusteella</w:t>
      </w:r>
      <w:r w:rsidRPr="007E3738">
        <w:rPr>
          <w:rFonts w:ascii="Verdana" w:hAnsi="Verdana"/>
          <w:sz w:val="20"/>
          <w:szCs w:val="20"/>
        </w:rPr>
        <w:t xml:space="preserve"> ilman hankintalain mukaista kilpailutusta.</w:t>
      </w:r>
    </w:p>
    <w:p w14:paraId="6D32A384" w14:textId="55AA0265" w:rsidR="00383464" w:rsidRPr="00383464" w:rsidRDefault="007E3738" w:rsidP="00383464">
      <w:pPr>
        <w:numPr>
          <w:ilvl w:val="0"/>
          <w:numId w:val="14"/>
        </w:numPr>
        <w:contextualSpacing/>
        <w:jc w:val="both"/>
        <w:rPr>
          <w:rFonts w:ascii="Verdana" w:hAnsi="Verdana"/>
          <w:sz w:val="20"/>
          <w:szCs w:val="20"/>
        </w:rPr>
      </w:pPr>
      <w:r w:rsidRPr="007E3738">
        <w:rPr>
          <w:rFonts w:ascii="Verdana" w:hAnsi="Verdana"/>
          <w:sz w:val="20"/>
          <w:szCs w:val="20"/>
        </w:rPr>
        <w:t>Kysymykset on numeroitu</w:t>
      </w:r>
      <w:r w:rsidR="009C2D8F">
        <w:rPr>
          <w:rFonts w:ascii="Verdana" w:hAnsi="Verdana"/>
          <w:sz w:val="20"/>
          <w:szCs w:val="20"/>
        </w:rPr>
        <w:t xml:space="preserve"> numeroin 1-7</w:t>
      </w:r>
      <w:r w:rsidRPr="007E3738">
        <w:rPr>
          <w:rFonts w:ascii="Verdana" w:hAnsi="Verdana"/>
          <w:sz w:val="20"/>
          <w:szCs w:val="20"/>
        </w:rPr>
        <w:t>. Käy kysymykset läpi numerojärjestyksessä ja anna ensiksi kysymykseen ”KYLLÄ” tai ”EI”-vastaus sen mukaan, vastaako kysytty kysymys hankintayksikön tilannetta.</w:t>
      </w:r>
    </w:p>
    <w:p w14:paraId="3C0FE0FA" w14:textId="7862F845" w:rsidR="00383464" w:rsidRPr="00383464" w:rsidRDefault="007E3738" w:rsidP="00383464">
      <w:pPr>
        <w:numPr>
          <w:ilvl w:val="0"/>
          <w:numId w:val="14"/>
        </w:numPr>
        <w:contextualSpacing/>
        <w:jc w:val="both"/>
        <w:rPr>
          <w:rFonts w:ascii="Verdana" w:hAnsi="Verdana"/>
          <w:sz w:val="20"/>
          <w:szCs w:val="20"/>
        </w:rPr>
      </w:pPr>
      <w:bookmarkStart w:id="0" w:name="_GoBack"/>
      <w:bookmarkEnd w:id="0"/>
      <w:r w:rsidRPr="007E3738">
        <w:rPr>
          <w:rFonts w:ascii="Verdana" w:hAnsi="Verdana"/>
          <w:sz w:val="20"/>
          <w:szCs w:val="20"/>
        </w:rPr>
        <w:t>Seuraavaksi kohdassa ”HANKINTAYKSIKÖN VASTAUS” anna perustelut sille, miksi tilanne vastaa tai ei vastaa hankintayksikön tilannetta.</w:t>
      </w:r>
    </w:p>
    <w:p w14:paraId="4BF46404" w14:textId="198DD193" w:rsidR="00383464" w:rsidRPr="00383464" w:rsidRDefault="007E3738" w:rsidP="00383464">
      <w:pPr>
        <w:numPr>
          <w:ilvl w:val="0"/>
          <w:numId w:val="14"/>
        </w:numPr>
        <w:contextualSpacing/>
        <w:jc w:val="both"/>
        <w:rPr>
          <w:rFonts w:ascii="Verdana" w:hAnsi="Verdana"/>
          <w:sz w:val="20"/>
          <w:szCs w:val="20"/>
        </w:rPr>
      </w:pPr>
      <w:r w:rsidRPr="007E3738">
        <w:rPr>
          <w:rFonts w:ascii="Verdana" w:hAnsi="Verdana"/>
          <w:sz w:val="20"/>
          <w:szCs w:val="20"/>
        </w:rPr>
        <w:t xml:space="preserve">Algoritmissa esitetyt kysymykset muodostavat </w:t>
      </w:r>
      <w:r w:rsidR="009C2D8F">
        <w:rPr>
          <w:rFonts w:ascii="Verdana" w:hAnsi="Verdana"/>
          <w:sz w:val="20"/>
          <w:szCs w:val="20"/>
        </w:rPr>
        <w:t>lisätilaus-</w:t>
      </w:r>
      <w:r w:rsidRPr="007E3738">
        <w:rPr>
          <w:rFonts w:ascii="Verdana" w:hAnsi="Verdana"/>
          <w:sz w:val="20"/>
          <w:szCs w:val="20"/>
        </w:rPr>
        <w:t xml:space="preserve">suorahankintaperusteen </w:t>
      </w:r>
      <w:r w:rsidR="009C2D8F">
        <w:rPr>
          <w:rFonts w:ascii="Verdana" w:hAnsi="Verdana"/>
          <w:sz w:val="20"/>
          <w:szCs w:val="20"/>
        </w:rPr>
        <w:t xml:space="preserve">käytön </w:t>
      </w:r>
      <w:r w:rsidRPr="007E3738">
        <w:rPr>
          <w:rFonts w:ascii="Verdana" w:hAnsi="Verdana"/>
          <w:sz w:val="20"/>
          <w:szCs w:val="20"/>
        </w:rPr>
        <w:t>kumulatiiviset edellytykset. Yksikin ”EI”</w:t>
      </w:r>
      <w:r w:rsidR="008B100F">
        <w:rPr>
          <w:rFonts w:ascii="Verdana" w:hAnsi="Verdana"/>
          <w:sz w:val="20"/>
          <w:szCs w:val="20"/>
        </w:rPr>
        <w:t>-</w:t>
      </w:r>
      <w:r w:rsidRPr="007E3738">
        <w:rPr>
          <w:rFonts w:ascii="Verdana" w:hAnsi="Verdana"/>
          <w:sz w:val="20"/>
          <w:szCs w:val="20"/>
        </w:rPr>
        <w:t xml:space="preserve"> vastaus osoittaa, että suorahankintaan ei todennäköisesti ole perusteita.</w:t>
      </w:r>
    </w:p>
    <w:p w14:paraId="0648B0A2" w14:textId="58DC793D" w:rsidR="00383464" w:rsidRPr="00383464" w:rsidRDefault="009C2D8F" w:rsidP="00383464">
      <w:pPr>
        <w:numPr>
          <w:ilvl w:val="0"/>
          <w:numId w:val="14"/>
        </w:numPr>
        <w:contextualSpacing/>
        <w:jc w:val="both"/>
        <w:rPr>
          <w:rFonts w:ascii="Verdana" w:hAnsi="Verdana"/>
          <w:sz w:val="20"/>
          <w:szCs w:val="20"/>
        </w:rPr>
      </w:pPr>
      <w:r w:rsidRPr="00E31A99">
        <w:rPr>
          <w:rFonts w:ascii="Verdana" w:hAnsi="Verdana"/>
          <w:b/>
          <w:sz w:val="20"/>
          <w:szCs w:val="20"/>
        </w:rPr>
        <w:t>HUOM!</w:t>
      </w:r>
      <w:r>
        <w:rPr>
          <w:rFonts w:ascii="Verdana" w:hAnsi="Verdana"/>
          <w:sz w:val="20"/>
          <w:szCs w:val="20"/>
        </w:rPr>
        <w:t xml:space="preserve"> Kysymykset </w:t>
      </w:r>
      <w:r w:rsidRPr="00383464">
        <w:rPr>
          <w:rFonts w:ascii="Verdana" w:hAnsi="Verdana"/>
          <w:b/>
          <w:sz w:val="20"/>
          <w:szCs w:val="20"/>
        </w:rPr>
        <w:t>1-3</w:t>
      </w:r>
      <w:r>
        <w:rPr>
          <w:rFonts w:ascii="Verdana" w:hAnsi="Verdana"/>
          <w:sz w:val="20"/>
          <w:szCs w:val="20"/>
        </w:rPr>
        <w:t xml:space="preserve"> koskevat </w:t>
      </w:r>
      <w:r w:rsidRPr="00383464">
        <w:rPr>
          <w:rFonts w:ascii="Verdana" w:hAnsi="Verdana"/>
          <w:b/>
          <w:sz w:val="20"/>
          <w:szCs w:val="20"/>
        </w:rPr>
        <w:t>tavarahankintoja koskevia lisätilauksia</w:t>
      </w:r>
      <w:r>
        <w:rPr>
          <w:rFonts w:ascii="Verdana" w:hAnsi="Verdana"/>
          <w:sz w:val="20"/>
          <w:szCs w:val="20"/>
        </w:rPr>
        <w:t xml:space="preserve"> ja kysymykset </w:t>
      </w:r>
      <w:r w:rsidRPr="00383464">
        <w:rPr>
          <w:rFonts w:ascii="Verdana" w:hAnsi="Verdana"/>
          <w:b/>
          <w:sz w:val="20"/>
          <w:szCs w:val="20"/>
        </w:rPr>
        <w:t>4-7</w:t>
      </w:r>
      <w:r>
        <w:rPr>
          <w:rFonts w:ascii="Verdana" w:hAnsi="Verdana"/>
          <w:sz w:val="20"/>
          <w:szCs w:val="20"/>
        </w:rPr>
        <w:t xml:space="preserve"> </w:t>
      </w:r>
      <w:r w:rsidRPr="00383464">
        <w:rPr>
          <w:rFonts w:ascii="Verdana" w:hAnsi="Verdana"/>
          <w:b/>
          <w:sz w:val="20"/>
          <w:szCs w:val="20"/>
        </w:rPr>
        <w:t>palveluhankintoja koskevia lisätilauksia.</w:t>
      </w:r>
    </w:p>
    <w:p w14:paraId="0C1FB82F" w14:textId="414BD743" w:rsidR="00383464" w:rsidRPr="00383464" w:rsidRDefault="007E3738" w:rsidP="00383464">
      <w:pPr>
        <w:numPr>
          <w:ilvl w:val="0"/>
          <w:numId w:val="14"/>
        </w:numPr>
        <w:contextualSpacing/>
        <w:jc w:val="both"/>
        <w:rPr>
          <w:rFonts w:ascii="Verdana" w:hAnsi="Verdana"/>
          <w:sz w:val="20"/>
          <w:szCs w:val="20"/>
        </w:rPr>
      </w:pPr>
      <w:r w:rsidRPr="007E3738">
        <w:rPr>
          <w:rFonts w:ascii="Verdana" w:hAnsi="Verdana"/>
          <w:sz w:val="20"/>
          <w:szCs w:val="20"/>
        </w:rPr>
        <w:t>Mikäli hankintayksikkö vastaa kaikkiin kysymyksiin ”KYLLÄ”, voi kyseessä olla tilanne, jolloin suorahankinta olisi sallittu.</w:t>
      </w:r>
    </w:p>
    <w:p w14:paraId="20BB9206" w14:textId="629C2A07" w:rsidR="00383464" w:rsidRPr="00383464" w:rsidRDefault="007E3738" w:rsidP="00383464">
      <w:pPr>
        <w:numPr>
          <w:ilvl w:val="0"/>
          <w:numId w:val="14"/>
        </w:numPr>
        <w:contextualSpacing/>
        <w:jc w:val="both"/>
        <w:rPr>
          <w:rFonts w:ascii="Verdana" w:hAnsi="Verdana"/>
          <w:sz w:val="20"/>
          <w:szCs w:val="20"/>
        </w:rPr>
      </w:pPr>
      <w:r w:rsidRPr="007E3738">
        <w:rPr>
          <w:rFonts w:ascii="Verdana" w:hAnsi="Verdana"/>
          <w:sz w:val="20"/>
          <w:szCs w:val="20"/>
        </w:rPr>
        <w:t>Mikäli hankintayksikkö vastaa johonkin kysymykseen ”EI”, voi hankintayksikkö halutessaan pyytää selvitystä esimerkiksi Kuntaliiton lakimiehiltä, olisiko hankintayksikön tilanteessa käsillä ”EI”-vastauksesta huolimatta suorahankinnan salliva tilanne.</w:t>
      </w:r>
    </w:p>
    <w:p w14:paraId="0CAF5121" w14:textId="34D89C35" w:rsidR="007E3738" w:rsidRPr="00E31A99" w:rsidRDefault="005C0982" w:rsidP="00E31A99">
      <w:pPr>
        <w:numPr>
          <w:ilvl w:val="0"/>
          <w:numId w:val="14"/>
        </w:numPr>
        <w:contextualSpacing/>
        <w:jc w:val="both"/>
        <w:rPr>
          <w:rFonts w:ascii="Verdana" w:hAnsi="Verdana"/>
          <w:sz w:val="20"/>
          <w:szCs w:val="20"/>
        </w:rPr>
      </w:pPr>
      <w:r>
        <w:rPr>
          <w:rFonts w:ascii="Verdana" w:hAnsi="Verdana"/>
          <w:sz w:val="20"/>
          <w:szCs w:val="20"/>
        </w:rPr>
        <w:t xml:space="preserve">Tässä asiakirjassa käsitellään vain </w:t>
      </w:r>
      <w:r w:rsidR="00FF2EB2">
        <w:rPr>
          <w:rFonts w:ascii="Verdana" w:hAnsi="Verdana"/>
          <w:sz w:val="20"/>
          <w:szCs w:val="20"/>
        </w:rPr>
        <w:t>hankintalain 41 §:ä</w:t>
      </w:r>
      <w:r w:rsidR="0080698C">
        <w:rPr>
          <w:rFonts w:ascii="Verdana" w:hAnsi="Verdana"/>
          <w:sz w:val="20"/>
          <w:szCs w:val="20"/>
        </w:rPr>
        <w:t>ä</w:t>
      </w:r>
      <w:r w:rsidR="00E31A99">
        <w:rPr>
          <w:rFonts w:ascii="Verdana" w:hAnsi="Verdana"/>
          <w:sz w:val="20"/>
          <w:szCs w:val="20"/>
        </w:rPr>
        <w:t xml:space="preserve"> (suorahankinta lisätilauksissa)</w:t>
      </w:r>
      <w:r>
        <w:rPr>
          <w:rFonts w:ascii="Verdana" w:hAnsi="Verdana"/>
          <w:sz w:val="20"/>
          <w:szCs w:val="20"/>
        </w:rPr>
        <w:t>.</w:t>
      </w:r>
    </w:p>
    <w:p w14:paraId="3CC81A2F" w14:textId="77777777" w:rsidR="007E3738" w:rsidRPr="007E3738" w:rsidRDefault="007E3738" w:rsidP="007E3738">
      <w:pPr>
        <w:ind w:left="720"/>
        <w:contextualSpacing/>
        <w:jc w:val="both"/>
        <w:rPr>
          <w:rFonts w:ascii="Verdana" w:hAnsi="Verdana"/>
          <w:sz w:val="20"/>
          <w:szCs w:val="20"/>
        </w:rPr>
      </w:pPr>
    </w:p>
    <w:tbl>
      <w:tblPr>
        <w:tblStyle w:val="TaulukkoRuudukko"/>
        <w:tblW w:w="0" w:type="auto"/>
        <w:tblLook w:val="04A0" w:firstRow="1" w:lastRow="0" w:firstColumn="1" w:lastColumn="0" w:noHBand="0" w:noVBand="1"/>
      </w:tblPr>
      <w:tblGrid>
        <w:gridCol w:w="5807"/>
        <w:gridCol w:w="1418"/>
        <w:gridCol w:w="6769"/>
      </w:tblGrid>
      <w:tr w:rsidR="007E3738" w:rsidRPr="007E3738" w14:paraId="1C2FE9DC" w14:textId="77777777" w:rsidTr="008B100F">
        <w:tc>
          <w:tcPr>
            <w:tcW w:w="5807" w:type="dxa"/>
            <w:shd w:val="clear" w:color="auto" w:fill="A8D08D" w:themeFill="accent6" w:themeFillTint="99"/>
          </w:tcPr>
          <w:p w14:paraId="63A14394" w14:textId="77777777" w:rsidR="007E3738" w:rsidRPr="007E3738" w:rsidRDefault="007E3738" w:rsidP="007E3738">
            <w:pPr>
              <w:jc w:val="both"/>
              <w:rPr>
                <w:rFonts w:ascii="Verdana" w:hAnsi="Verdana"/>
                <w:b/>
                <w:bCs/>
                <w:sz w:val="20"/>
                <w:szCs w:val="20"/>
              </w:rPr>
            </w:pPr>
            <w:r w:rsidRPr="007E3738">
              <w:rPr>
                <w:rFonts w:ascii="Verdana" w:hAnsi="Verdana"/>
                <w:b/>
                <w:bCs/>
                <w:sz w:val="20"/>
                <w:szCs w:val="20"/>
              </w:rPr>
              <w:t>KYSYMYS</w:t>
            </w:r>
          </w:p>
        </w:tc>
        <w:tc>
          <w:tcPr>
            <w:tcW w:w="1418" w:type="dxa"/>
            <w:shd w:val="clear" w:color="auto" w:fill="A8D08D" w:themeFill="accent6" w:themeFillTint="99"/>
          </w:tcPr>
          <w:p w14:paraId="3CAA820C" w14:textId="77777777" w:rsidR="007E3738" w:rsidRPr="007E3738" w:rsidRDefault="007E3738" w:rsidP="007E3738">
            <w:pPr>
              <w:jc w:val="both"/>
              <w:rPr>
                <w:rFonts w:ascii="Verdana" w:hAnsi="Verdana"/>
                <w:b/>
                <w:bCs/>
                <w:sz w:val="20"/>
                <w:szCs w:val="20"/>
              </w:rPr>
            </w:pPr>
            <w:r w:rsidRPr="007E3738">
              <w:rPr>
                <w:rFonts w:ascii="Verdana" w:hAnsi="Verdana"/>
                <w:b/>
                <w:bCs/>
                <w:sz w:val="20"/>
                <w:szCs w:val="20"/>
              </w:rPr>
              <w:t>KYLLÄ/EI</w:t>
            </w:r>
          </w:p>
        </w:tc>
        <w:tc>
          <w:tcPr>
            <w:tcW w:w="6769" w:type="dxa"/>
            <w:shd w:val="clear" w:color="auto" w:fill="A8D08D" w:themeFill="accent6" w:themeFillTint="99"/>
          </w:tcPr>
          <w:p w14:paraId="744BD4CE" w14:textId="77777777" w:rsidR="007E3738" w:rsidRPr="007E3738" w:rsidRDefault="007E3738" w:rsidP="007E3738">
            <w:pPr>
              <w:jc w:val="both"/>
              <w:rPr>
                <w:rFonts w:ascii="Verdana" w:hAnsi="Verdana"/>
                <w:b/>
                <w:bCs/>
                <w:sz w:val="20"/>
                <w:szCs w:val="20"/>
              </w:rPr>
            </w:pPr>
            <w:r w:rsidRPr="007E3738">
              <w:rPr>
                <w:rFonts w:ascii="Verdana" w:hAnsi="Verdana"/>
                <w:b/>
                <w:bCs/>
                <w:sz w:val="20"/>
                <w:szCs w:val="20"/>
              </w:rPr>
              <w:t>HANKINTAYKSIKÖN VASTAUS</w:t>
            </w:r>
          </w:p>
        </w:tc>
      </w:tr>
      <w:tr w:rsidR="007E3738" w:rsidRPr="007E3738" w14:paraId="2160C86B" w14:textId="77777777" w:rsidTr="0074124B">
        <w:tc>
          <w:tcPr>
            <w:tcW w:w="5807" w:type="dxa"/>
          </w:tcPr>
          <w:p w14:paraId="1B8F9585" w14:textId="2769B4B8" w:rsidR="007E3738" w:rsidRPr="00DE0567" w:rsidRDefault="00DE0567" w:rsidP="00DE0567">
            <w:pPr>
              <w:pStyle w:val="Luettelokappale"/>
              <w:numPr>
                <w:ilvl w:val="0"/>
                <w:numId w:val="15"/>
              </w:numPr>
              <w:jc w:val="both"/>
              <w:rPr>
                <w:rFonts w:ascii="Verdana" w:hAnsi="Verdana"/>
                <w:sz w:val="20"/>
                <w:szCs w:val="20"/>
              </w:rPr>
            </w:pPr>
            <w:r>
              <w:rPr>
                <w:rFonts w:ascii="Verdana" w:hAnsi="Verdana"/>
                <w:sz w:val="20"/>
                <w:szCs w:val="20"/>
              </w:rPr>
              <w:t xml:space="preserve">Onko </w:t>
            </w:r>
            <w:r w:rsidRPr="00F77076">
              <w:rPr>
                <w:rFonts w:ascii="Verdana" w:hAnsi="Verdana"/>
                <w:b/>
                <w:sz w:val="20"/>
                <w:szCs w:val="20"/>
              </w:rPr>
              <w:t>alkuperäisen toimittajan</w:t>
            </w:r>
            <w:r w:rsidRPr="00DE0567">
              <w:rPr>
                <w:rFonts w:ascii="Verdana" w:hAnsi="Verdana"/>
                <w:sz w:val="20"/>
                <w:szCs w:val="20"/>
              </w:rPr>
              <w:t xml:space="preserve"> kanssa tehtävä </w:t>
            </w:r>
            <w:r w:rsidRPr="00F77076">
              <w:rPr>
                <w:rFonts w:ascii="Verdana" w:hAnsi="Verdana"/>
                <w:b/>
                <w:sz w:val="20"/>
                <w:szCs w:val="20"/>
              </w:rPr>
              <w:t>tavara</w:t>
            </w:r>
            <w:r>
              <w:rPr>
                <w:rFonts w:ascii="Verdana" w:hAnsi="Verdana"/>
                <w:sz w:val="20"/>
                <w:szCs w:val="20"/>
              </w:rPr>
              <w:t xml:space="preserve">hankinta </w:t>
            </w:r>
            <w:r w:rsidRPr="00DE0567">
              <w:rPr>
                <w:rFonts w:ascii="Verdana" w:hAnsi="Verdana"/>
                <w:sz w:val="20"/>
                <w:szCs w:val="20"/>
              </w:rPr>
              <w:t xml:space="preserve">lisätilaus, jonka tarkoituksena on </w:t>
            </w:r>
            <w:r w:rsidRPr="00F77076">
              <w:rPr>
                <w:rFonts w:ascii="Verdana" w:hAnsi="Verdana"/>
                <w:b/>
                <w:sz w:val="20"/>
                <w:szCs w:val="20"/>
              </w:rPr>
              <w:t>aikaisemman</w:t>
            </w:r>
            <w:r w:rsidRPr="00DE0567">
              <w:rPr>
                <w:rFonts w:ascii="Verdana" w:hAnsi="Verdana"/>
                <w:sz w:val="20"/>
                <w:szCs w:val="20"/>
              </w:rPr>
              <w:t xml:space="preserve"> toimituksen tai laitteiston osittainen korvaaminen tai laajentaminen</w:t>
            </w:r>
            <w:r>
              <w:rPr>
                <w:rFonts w:ascii="Verdana" w:hAnsi="Verdana"/>
                <w:sz w:val="20"/>
                <w:szCs w:val="20"/>
              </w:rPr>
              <w:t>?</w:t>
            </w:r>
          </w:p>
        </w:tc>
        <w:tc>
          <w:tcPr>
            <w:tcW w:w="1418" w:type="dxa"/>
          </w:tcPr>
          <w:p w14:paraId="6E67D12D" w14:textId="77777777" w:rsidR="007E3738" w:rsidRPr="007E3738" w:rsidRDefault="007E3738" w:rsidP="007E3738">
            <w:pPr>
              <w:jc w:val="both"/>
              <w:rPr>
                <w:rFonts w:ascii="Verdana" w:hAnsi="Verdana"/>
                <w:sz w:val="20"/>
                <w:szCs w:val="20"/>
              </w:rPr>
            </w:pPr>
          </w:p>
        </w:tc>
        <w:tc>
          <w:tcPr>
            <w:tcW w:w="6769" w:type="dxa"/>
          </w:tcPr>
          <w:p w14:paraId="1FD09E97" w14:textId="77777777" w:rsidR="007E3738" w:rsidRPr="007E3738" w:rsidRDefault="007E3738" w:rsidP="007E3738">
            <w:pPr>
              <w:jc w:val="both"/>
              <w:rPr>
                <w:rFonts w:ascii="Verdana" w:hAnsi="Verdana"/>
                <w:sz w:val="20"/>
                <w:szCs w:val="20"/>
              </w:rPr>
            </w:pPr>
          </w:p>
        </w:tc>
      </w:tr>
      <w:tr w:rsidR="00DE0567" w:rsidRPr="007E3738" w14:paraId="6CFB4BC5" w14:textId="77777777" w:rsidTr="008B100F">
        <w:tc>
          <w:tcPr>
            <w:tcW w:w="5807" w:type="dxa"/>
            <w:shd w:val="clear" w:color="auto" w:fill="D9D9D9" w:themeFill="background1" w:themeFillShade="D9"/>
          </w:tcPr>
          <w:p w14:paraId="7D97F12D" w14:textId="5A4EE81D" w:rsidR="00DE0567" w:rsidRDefault="00DE0567" w:rsidP="00DE0567">
            <w:pPr>
              <w:pStyle w:val="Luettelokappale"/>
              <w:ind w:left="360"/>
              <w:jc w:val="both"/>
              <w:rPr>
                <w:rFonts w:ascii="Verdana" w:hAnsi="Verdana"/>
                <w:sz w:val="20"/>
                <w:szCs w:val="20"/>
              </w:rPr>
            </w:pPr>
            <w:r>
              <w:rPr>
                <w:rFonts w:ascii="Verdana" w:hAnsi="Verdana"/>
                <w:sz w:val="20"/>
                <w:szCs w:val="20"/>
              </w:rPr>
              <w:t>Jos vastasit edelliseen kysymykseen ”</w:t>
            </w:r>
            <w:r w:rsidR="008B100F">
              <w:rPr>
                <w:rFonts w:ascii="Verdana" w:hAnsi="Verdana"/>
                <w:sz w:val="20"/>
                <w:szCs w:val="20"/>
              </w:rPr>
              <w:t>KYLLÄ</w:t>
            </w:r>
            <w:r>
              <w:rPr>
                <w:rFonts w:ascii="Verdana" w:hAnsi="Verdana"/>
                <w:sz w:val="20"/>
                <w:szCs w:val="20"/>
              </w:rPr>
              <w:t xml:space="preserve">”, vastaa </w:t>
            </w:r>
            <w:r w:rsidR="002A0DF1">
              <w:rPr>
                <w:rFonts w:ascii="Verdana" w:hAnsi="Verdana"/>
                <w:sz w:val="20"/>
                <w:szCs w:val="20"/>
              </w:rPr>
              <w:t xml:space="preserve">myös </w:t>
            </w:r>
            <w:r>
              <w:rPr>
                <w:rFonts w:ascii="Verdana" w:hAnsi="Verdana"/>
                <w:sz w:val="20"/>
                <w:szCs w:val="20"/>
              </w:rPr>
              <w:t>kysymyksiin 2-3 Jos vastasit</w:t>
            </w:r>
            <w:r w:rsidR="008B100F">
              <w:rPr>
                <w:rFonts w:ascii="Verdana" w:hAnsi="Verdana"/>
                <w:sz w:val="20"/>
                <w:szCs w:val="20"/>
              </w:rPr>
              <w:t xml:space="preserve"> kysymykseen ”EI</w:t>
            </w:r>
            <w:r>
              <w:rPr>
                <w:rFonts w:ascii="Verdana" w:hAnsi="Verdana"/>
                <w:sz w:val="20"/>
                <w:szCs w:val="20"/>
              </w:rPr>
              <w:t>”, siirry kysymykseen 4.</w:t>
            </w:r>
          </w:p>
        </w:tc>
        <w:tc>
          <w:tcPr>
            <w:tcW w:w="1418" w:type="dxa"/>
            <w:shd w:val="clear" w:color="auto" w:fill="D9D9D9" w:themeFill="background1" w:themeFillShade="D9"/>
          </w:tcPr>
          <w:p w14:paraId="490C5909" w14:textId="77777777" w:rsidR="00DE0567" w:rsidRPr="007E3738" w:rsidRDefault="00DE0567" w:rsidP="007E3738">
            <w:pPr>
              <w:jc w:val="both"/>
              <w:rPr>
                <w:rFonts w:ascii="Verdana" w:hAnsi="Verdana"/>
                <w:sz w:val="20"/>
                <w:szCs w:val="20"/>
              </w:rPr>
            </w:pPr>
          </w:p>
        </w:tc>
        <w:tc>
          <w:tcPr>
            <w:tcW w:w="6769" w:type="dxa"/>
            <w:shd w:val="clear" w:color="auto" w:fill="D9D9D9" w:themeFill="background1" w:themeFillShade="D9"/>
          </w:tcPr>
          <w:p w14:paraId="79C09AB0" w14:textId="77777777" w:rsidR="00DE0567" w:rsidRPr="007E3738" w:rsidRDefault="00DE0567" w:rsidP="007E3738">
            <w:pPr>
              <w:jc w:val="both"/>
              <w:rPr>
                <w:rFonts w:ascii="Verdana" w:hAnsi="Verdana"/>
                <w:sz w:val="20"/>
                <w:szCs w:val="20"/>
              </w:rPr>
            </w:pPr>
          </w:p>
        </w:tc>
      </w:tr>
      <w:tr w:rsidR="00DE0567" w:rsidRPr="007E3738" w14:paraId="71F460DB" w14:textId="77777777" w:rsidTr="0074124B">
        <w:tc>
          <w:tcPr>
            <w:tcW w:w="5807" w:type="dxa"/>
          </w:tcPr>
          <w:p w14:paraId="510AC233" w14:textId="6458BE1A" w:rsidR="00DE0567" w:rsidRDefault="00DE0567" w:rsidP="00DE0567">
            <w:pPr>
              <w:pStyle w:val="Luettelokappale"/>
              <w:numPr>
                <w:ilvl w:val="0"/>
                <w:numId w:val="15"/>
              </w:numPr>
              <w:jc w:val="both"/>
              <w:rPr>
                <w:rFonts w:ascii="Verdana" w:hAnsi="Verdana"/>
                <w:sz w:val="20"/>
                <w:szCs w:val="20"/>
              </w:rPr>
            </w:pPr>
            <w:r>
              <w:rPr>
                <w:rFonts w:ascii="Verdana" w:hAnsi="Verdana"/>
                <w:sz w:val="20"/>
                <w:szCs w:val="20"/>
              </w:rPr>
              <w:t>Johtaisiko toimittajan vaihtaminen teknisiltä ominaisuuksiltaan erilaisen tavaran hankkimiseen, mikä aiheuttaisi yhteensopimattomuutta tai suhteettoman suuria teknisiä vaikeuksia käytössä ja kunnossapidossa?</w:t>
            </w:r>
          </w:p>
        </w:tc>
        <w:tc>
          <w:tcPr>
            <w:tcW w:w="1418" w:type="dxa"/>
          </w:tcPr>
          <w:p w14:paraId="24C90495" w14:textId="77777777" w:rsidR="00DE0567" w:rsidRPr="007E3738" w:rsidRDefault="00DE0567" w:rsidP="007E3738">
            <w:pPr>
              <w:jc w:val="both"/>
              <w:rPr>
                <w:rFonts w:ascii="Verdana" w:hAnsi="Verdana"/>
                <w:sz w:val="20"/>
                <w:szCs w:val="20"/>
              </w:rPr>
            </w:pPr>
          </w:p>
        </w:tc>
        <w:tc>
          <w:tcPr>
            <w:tcW w:w="6769" w:type="dxa"/>
          </w:tcPr>
          <w:p w14:paraId="4EC18ABD" w14:textId="77777777" w:rsidR="00DE0567" w:rsidRPr="007E3738" w:rsidRDefault="00DE0567" w:rsidP="007E3738">
            <w:pPr>
              <w:jc w:val="both"/>
              <w:rPr>
                <w:rFonts w:ascii="Verdana" w:hAnsi="Verdana"/>
                <w:sz w:val="20"/>
                <w:szCs w:val="20"/>
              </w:rPr>
            </w:pPr>
          </w:p>
        </w:tc>
      </w:tr>
      <w:tr w:rsidR="00DE0567" w:rsidRPr="007E3738" w14:paraId="4BCAB0EC" w14:textId="77777777" w:rsidTr="0074124B">
        <w:tc>
          <w:tcPr>
            <w:tcW w:w="5807" w:type="dxa"/>
          </w:tcPr>
          <w:p w14:paraId="52F06411" w14:textId="2D2AF3D1" w:rsidR="00DE0567" w:rsidRPr="00DE0567" w:rsidRDefault="0074124B" w:rsidP="00DE0567">
            <w:pPr>
              <w:pStyle w:val="Luettelokappale"/>
              <w:numPr>
                <w:ilvl w:val="0"/>
                <w:numId w:val="15"/>
              </w:numPr>
              <w:jc w:val="both"/>
              <w:rPr>
                <w:rFonts w:ascii="Verdana" w:hAnsi="Verdana"/>
                <w:sz w:val="20"/>
                <w:szCs w:val="20"/>
              </w:rPr>
            </w:pPr>
            <w:r w:rsidRPr="00DE0567">
              <w:rPr>
                <w:rFonts w:ascii="Verdana" w:hAnsi="Verdana"/>
                <w:sz w:val="20"/>
                <w:szCs w:val="20"/>
              </w:rPr>
              <w:t>O</w:t>
            </w:r>
            <w:r w:rsidR="00AE79BD">
              <w:rPr>
                <w:rFonts w:ascii="Verdana" w:hAnsi="Verdana"/>
                <w:sz w:val="20"/>
                <w:szCs w:val="20"/>
              </w:rPr>
              <w:t xml:space="preserve">vatko alkuperäinen hankintasopimus </w:t>
            </w:r>
            <w:r w:rsidR="00AE79BD" w:rsidRPr="00F77076">
              <w:rPr>
                <w:rFonts w:ascii="Verdana" w:hAnsi="Verdana"/>
                <w:b/>
                <w:sz w:val="20"/>
                <w:szCs w:val="20"/>
              </w:rPr>
              <w:t>ja</w:t>
            </w:r>
            <w:r w:rsidRPr="00DE0567">
              <w:rPr>
                <w:rFonts w:ascii="Verdana" w:hAnsi="Verdana"/>
                <w:sz w:val="20"/>
                <w:szCs w:val="20"/>
              </w:rPr>
              <w:t xml:space="preserve"> </w:t>
            </w:r>
            <w:r w:rsidR="00AE79BD">
              <w:rPr>
                <w:rFonts w:ascii="Verdana" w:hAnsi="Verdana"/>
                <w:sz w:val="20"/>
                <w:szCs w:val="20"/>
              </w:rPr>
              <w:t xml:space="preserve">uudistettava sopimus </w:t>
            </w:r>
            <w:r w:rsidRPr="00DE0567">
              <w:rPr>
                <w:rFonts w:ascii="Verdana" w:hAnsi="Verdana"/>
                <w:sz w:val="20"/>
                <w:szCs w:val="20"/>
              </w:rPr>
              <w:t>sopimuskaudeltaan lyhyempi</w:t>
            </w:r>
            <w:r w:rsidR="00AE79BD">
              <w:rPr>
                <w:rFonts w:ascii="Verdana" w:hAnsi="Verdana"/>
                <w:sz w:val="20"/>
                <w:szCs w:val="20"/>
              </w:rPr>
              <w:t>ä</w:t>
            </w:r>
            <w:r w:rsidRPr="00DE0567">
              <w:rPr>
                <w:rFonts w:ascii="Verdana" w:hAnsi="Verdana"/>
                <w:sz w:val="20"/>
                <w:szCs w:val="20"/>
              </w:rPr>
              <w:t xml:space="preserve"> kuin kolme vuotta</w:t>
            </w:r>
            <w:r w:rsidR="00DE0567">
              <w:rPr>
                <w:rFonts w:ascii="Verdana" w:hAnsi="Verdana"/>
                <w:sz w:val="20"/>
                <w:szCs w:val="20"/>
              </w:rPr>
              <w:t>?</w:t>
            </w:r>
          </w:p>
        </w:tc>
        <w:tc>
          <w:tcPr>
            <w:tcW w:w="1418" w:type="dxa"/>
          </w:tcPr>
          <w:p w14:paraId="6B3BBAC3" w14:textId="77777777" w:rsidR="00DE0567" w:rsidRPr="007E3738" w:rsidRDefault="00DE0567" w:rsidP="007E3738">
            <w:pPr>
              <w:jc w:val="both"/>
              <w:rPr>
                <w:rFonts w:ascii="Verdana" w:hAnsi="Verdana"/>
                <w:sz w:val="20"/>
                <w:szCs w:val="20"/>
              </w:rPr>
            </w:pPr>
          </w:p>
        </w:tc>
        <w:tc>
          <w:tcPr>
            <w:tcW w:w="6769" w:type="dxa"/>
          </w:tcPr>
          <w:p w14:paraId="6D78BBD4" w14:textId="77777777" w:rsidR="00DE0567" w:rsidRPr="007E3738" w:rsidRDefault="00DE0567" w:rsidP="007E3738">
            <w:pPr>
              <w:jc w:val="both"/>
              <w:rPr>
                <w:rFonts w:ascii="Verdana" w:hAnsi="Verdana"/>
                <w:sz w:val="20"/>
                <w:szCs w:val="20"/>
              </w:rPr>
            </w:pPr>
          </w:p>
        </w:tc>
      </w:tr>
      <w:tr w:rsidR="00F77076" w:rsidRPr="007E3738" w14:paraId="50B89D5D" w14:textId="77777777" w:rsidTr="00F77076">
        <w:tc>
          <w:tcPr>
            <w:tcW w:w="5807" w:type="dxa"/>
            <w:shd w:val="clear" w:color="auto" w:fill="A6A6A6" w:themeFill="background1" w:themeFillShade="A6"/>
          </w:tcPr>
          <w:p w14:paraId="77018570" w14:textId="62B1A97B" w:rsidR="00F77076" w:rsidRPr="00F77076" w:rsidRDefault="00F77076" w:rsidP="00F77076">
            <w:pPr>
              <w:jc w:val="both"/>
              <w:rPr>
                <w:rFonts w:ascii="Verdana" w:hAnsi="Verdana"/>
                <w:sz w:val="20"/>
                <w:szCs w:val="20"/>
              </w:rPr>
            </w:pPr>
          </w:p>
        </w:tc>
        <w:tc>
          <w:tcPr>
            <w:tcW w:w="1418" w:type="dxa"/>
            <w:shd w:val="clear" w:color="auto" w:fill="A6A6A6" w:themeFill="background1" w:themeFillShade="A6"/>
          </w:tcPr>
          <w:p w14:paraId="10691805" w14:textId="77777777" w:rsidR="00F77076" w:rsidRPr="007E3738" w:rsidRDefault="00F77076" w:rsidP="007E3738">
            <w:pPr>
              <w:jc w:val="both"/>
              <w:rPr>
                <w:rFonts w:ascii="Verdana" w:hAnsi="Verdana"/>
                <w:sz w:val="20"/>
                <w:szCs w:val="20"/>
              </w:rPr>
            </w:pPr>
          </w:p>
        </w:tc>
        <w:tc>
          <w:tcPr>
            <w:tcW w:w="6769" w:type="dxa"/>
            <w:shd w:val="clear" w:color="auto" w:fill="A6A6A6" w:themeFill="background1" w:themeFillShade="A6"/>
          </w:tcPr>
          <w:p w14:paraId="2ACB34E2" w14:textId="77777777" w:rsidR="00F77076" w:rsidRPr="007E3738" w:rsidRDefault="00F77076" w:rsidP="007E3738">
            <w:pPr>
              <w:jc w:val="both"/>
              <w:rPr>
                <w:rFonts w:ascii="Verdana" w:hAnsi="Verdana"/>
                <w:sz w:val="20"/>
                <w:szCs w:val="20"/>
              </w:rPr>
            </w:pPr>
          </w:p>
        </w:tc>
      </w:tr>
      <w:tr w:rsidR="007E3738" w:rsidRPr="007E3738" w14:paraId="329E041C" w14:textId="77777777" w:rsidTr="0074124B">
        <w:tc>
          <w:tcPr>
            <w:tcW w:w="5807" w:type="dxa"/>
          </w:tcPr>
          <w:p w14:paraId="1E785E0F" w14:textId="3D427ED4" w:rsidR="007E3738" w:rsidRPr="007E3738" w:rsidRDefault="00DE0567" w:rsidP="00DE0567">
            <w:pPr>
              <w:numPr>
                <w:ilvl w:val="0"/>
                <w:numId w:val="15"/>
              </w:numPr>
              <w:contextualSpacing/>
              <w:jc w:val="both"/>
              <w:rPr>
                <w:rFonts w:ascii="Verdana" w:hAnsi="Verdana"/>
                <w:sz w:val="20"/>
                <w:szCs w:val="20"/>
              </w:rPr>
            </w:pPr>
            <w:r>
              <w:rPr>
                <w:rFonts w:ascii="Verdana" w:hAnsi="Verdana"/>
                <w:sz w:val="20"/>
                <w:szCs w:val="20"/>
              </w:rPr>
              <w:t>Onko kyseessä</w:t>
            </w:r>
            <w:r w:rsidRPr="00DE0567">
              <w:rPr>
                <w:rFonts w:ascii="Verdana" w:hAnsi="Verdana"/>
                <w:sz w:val="20"/>
                <w:szCs w:val="20"/>
              </w:rPr>
              <w:t xml:space="preserve"> </w:t>
            </w:r>
            <w:r w:rsidRPr="00F77076">
              <w:rPr>
                <w:rFonts w:ascii="Verdana" w:hAnsi="Verdana"/>
                <w:b/>
                <w:sz w:val="20"/>
                <w:szCs w:val="20"/>
              </w:rPr>
              <w:t>alkuperäisen toimittajan</w:t>
            </w:r>
            <w:r w:rsidRPr="00DE0567">
              <w:rPr>
                <w:rFonts w:ascii="Verdana" w:hAnsi="Verdana"/>
                <w:sz w:val="20"/>
                <w:szCs w:val="20"/>
              </w:rPr>
              <w:t xml:space="preserve"> kanssa tehtävä uusi </w:t>
            </w:r>
            <w:r w:rsidRPr="00F77076">
              <w:rPr>
                <w:rFonts w:ascii="Verdana" w:hAnsi="Verdana"/>
                <w:b/>
                <w:sz w:val="20"/>
                <w:szCs w:val="20"/>
              </w:rPr>
              <w:t>palvelu</w:t>
            </w:r>
            <w:r w:rsidRPr="00DE0567">
              <w:rPr>
                <w:rFonts w:ascii="Verdana" w:hAnsi="Verdana"/>
                <w:sz w:val="20"/>
                <w:szCs w:val="20"/>
              </w:rPr>
              <w:t>hankinta, joka vastaa aikaisemmin tehtyä palveluhankintaa</w:t>
            </w:r>
            <w:r w:rsidR="00CA3720">
              <w:rPr>
                <w:rFonts w:ascii="Verdana" w:hAnsi="Verdana"/>
                <w:sz w:val="20"/>
                <w:szCs w:val="20"/>
              </w:rPr>
              <w:t>?</w:t>
            </w:r>
          </w:p>
        </w:tc>
        <w:tc>
          <w:tcPr>
            <w:tcW w:w="1418" w:type="dxa"/>
          </w:tcPr>
          <w:p w14:paraId="0ABD2D62" w14:textId="77777777" w:rsidR="007E3738" w:rsidRPr="007E3738" w:rsidRDefault="007E3738" w:rsidP="007E3738">
            <w:pPr>
              <w:jc w:val="both"/>
              <w:rPr>
                <w:rFonts w:ascii="Verdana" w:hAnsi="Verdana"/>
                <w:sz w:val="20"/>
                <w:szCs w:val="20"/>
              </w:rPr>
            </w:pPr>
          </w:p>
        </w:tc>
        <w:tc>
          <w:tcPr>
            <w:tcW w:w="6769" w:type="dxa"/>
          </w:tcPr>
          <w:p w14:paraId="1682CA77" w14:textId="77777777" w:rsidR="007E3738" w:rsidRPr="007E3738" w:rsidRDefault="007E3738" w:rsidP="007E3738">
            <w:pPr>
              <w:jc w:val="both"/>
              <w:rPr>
                <w:rFonts w:ascii="Verdana" w:hAnsi="Verdana"/>
                <w:sz w:val="20"/>
                <w:szCs w:val="20"/>
              </w:rPr>
            </w:pPr>
          </w:p>
        </w:tc>
      </w:tr>
      <w:tr w:rsidR="007E3738" w:rsidRPr="007E3738" w14:paraId="0D5BC402" w14:textId="77777777" w:rsidTr="001317EC">
        <w:tc>
          <w:tcPr>
            <w:tcW w:w="5807" w:type="dxa"/>
            <w:shd w:val="clear" w:color="auto" w:fill="D9D9D9" w:themeFill="background1" w:themeFillShade="D9"/>
          </w:tcPr>
          <w:p w14:paraId="5762AEEC" w14:textId="18CF49D2" w:rsidR="007E3738" w:rsidRPr="00CA3720" w:rsidRDefault="00CA3720" w:rsidP="00CA3720">
            <w:pPr>
              <w:pStyle w:val="Luettelokappale"/>
              <w:ind w:left="360"/>
              <w:jc w:val="both"/>
              <w:rPr>
                <w:rFonts w:ascii="Verdana" w:hAnsi="Verdana"/>
                <w:sz w:val="20"/>
                <w:szCs w:val="20"/>
              </w:rPr>
            </w:pPr>
            <w:r>
              <w:rPr>
                <w:rFonts w:ascii="Verdana" w:hAnsi="Verdana"/>
                <w:sz w:val="20"/>
                <w:szCs w:val="20"/>
              </w:rPr>
              <w:t>Jos vastasit edelliseen kysymykseen ”Kyllä”, vastaa kysymyksiin 5-</w:t>
            </w:r>
            <w:r w:rsidR="000D0297">
              <w:rPr>
                <w:rFonts w:ascii="Verdana" w:hAnsi="Verdana"/>
                <w:sz w:val="20"/>
                <w:szCs w:val="20"/>
              </w:rPr>
              <w:t>7</w:t>
            </w:r>
            <w:r>
              <w:rPr>
                <w:rFonts w:ascii="Verdana" w:hAnsi="Verdana"/>
                <w:sz w:val="20"/>
                <w:szCs w:val="20"/>
              </w:rPr>
              <w:t>.</w:t>
            </w:r>
          </w:p>
        </w:tc>
        <w:tc>
          <w:tcPr>
            <w:tcW w:w="1418" w:type="dxa"/>
            <w:shd w:val="clear" w:color="auto" w:fill="D9D9D9" w:themeFill="background1" w:themeFillShade="D9"/>
          </w:tcPr>
          <w:p w14:paraId="7FDD6DDF" w14:textId="77777777" w:rsidR="007E3738" w:rsidRPr="007E3738" w:rsidRDefault="007E3738" w:rsidP="007E3738">
            <w:pPr>
              <w:jc w:val="both"/>
              <w:rPr>
                <w:rFonts w:ascii="Verdana" w:hAnsi="Verdana"/>
                <w:sz w:val="20"/>
                <w:szCs w:val="20"/>
              </w:rPr>
            </w:pPr>
          </w:p>
        </w:tc>
        <w:tc>
          <w:tcPr>
            <w:tcW w:w="6769" w:type="dxa"/>
            <w:shd w:val="clear" w:color="auto" w:fill="D9D9D9" w:themeFill="background1" w:themeFillShade="D9"/>
          </w:tcPr>
          <w:p w14:paraId="6CCCF18E" w14:textId="77777777" w:rsidR="007E3738" w:rsidRPr="007E3738" w:rsidRDefault="007E3738" w:rsidP="007E3738">
            <w:pPr>
              <w:jc w:val="both"/>
              <w:rPr>
                <w:rFonts w:ascii="Verdana" w:hAnsi="Verdana"/>
                <w:sz w:val="20"/>
                <w:szCs w:val="20"/>
              </w:rPr>
            </w:pPr>
          </w:p>
        </w:tc>
      </w:tr>
      <w:tr w:rsidR="007E3738" w:rsidRPr="007E3738" w14:paraId="44169857" w14:textId="77777777" w:rsidTr="0074124B">
        <w:tc>
          <w:tcPr>
            <w:tcW w:w="5807" w:type="dxa"/>
          </w:tcPr>
          <w:p w14:paraId="5623F9D6" w14:textId="63F21091" w:rsidR="007E3738" w:rsidRPr="00CA3720" w:rsidRDefault="00CA3720" w:rsidP="00CA3720">
            <w:pPr>
              <w:pStyle w:val="Luettelokappale"/>
              <w:numPr>
                <w:ilvl w:val="0"/>
                <w:numId w:val="15"/>
              </w:numPr>
              <w:jc w:val="both"/>
              <w:rPr>
                <w:rFonts w:ascii="Verdana" w:hAnsi="Verdana"/>
                <w:sz w:val="20"/>
                <w:szCs w:val="20"/>
              </w:rPr>
            </w:pPr>
            <w:r>
              <w:rPr>
                <w:rFonts w:ascii="Verdana" w:hAnsi="Verdana"/>
                <w:sz w:val="20"/>
                <w:szCs w:val="20"/>
              </w:rPr>
              <w:t xml:space="preserve">Onko alkuperäisessä hankintailmoituksessa mainittu mahdollisesta myöhemmästä suorahankinnasta? </w:t>
            </w:r>
          </w:p>
        </w:tc>
        <w:tc>
          <w:tcPr>
            <w:tcW w:w="1418" w:type="dxa"/>
          </w:tcPr>
          <w:p w14:paraId="3D347004" w14:textId="77777777" w:rsidR="007E3738" w:rsidRPr="007E3738" w:rsidRDefault="007E3738" w:rsidP="007E3738">
            <w:pPr>
              <w:jc w:val="both"/>
              <w:rPr>
                <w:rFonts w:ascii="Verdana" w:hAnsi="Verdana"/>
                <w:sz w:val="20"/>
                <w:szCs w:val="20"/>
              </w:rPr>
            </w:pPr>
          </w:p>
        </w:tc>
        <w:tc>
          <w:tcPr>
            <w:tcW w:w="6769" w:type="dxa"/>
          </w:tcPr>
          <w:p w14:paraId="1FBA2B29" w14:textId="77777777" w:rsidR="007E3738" w:rsidRPr="007E3738" w:rsidRDefault="007E3738" w:rsidP="007E3738">
            <w:pPr>
              <w:jc w:val="both"/>
              <w:rPr>
                <w:rFonts w:ascii="Verdana" w:hAnsi="Verdana"/>
                <w:sz w:val="20"/>
                <w:szCs w:val="20"/>
              </w:rPr>
            </w:pPr>
          </w:p>
        </w:tc>
      </w:tr>
      <w:tr w:rsidR="007E3738" w:rsidRPr="007E3738" w14:paraId="17273ACA" w14:textId="77777777" w:rsidTr="0074124B">
        <w:tc>
          <w:tcPr>
            <w:tcW w:w="5807" w:type="dxa"/>
          </w:tcPr>
          <w:p w14:paraId="5580695B" w14:textId="6BCA850E" w:rsidR="007E3738" w:rsidRPr="00CA3720" w:rsidRDefault="00CA3720" w:rsidP="00CA3720">
            <w:pPr>
              <w:pStyle w:val="Luettelokappale"/>
              <w:numPr>
                <w:ilvl w:val="0"/>
                <w:numId w:val="15"/>
              </w:numPr>
              <w:jc w:val="both"/>
              <w:rPr>
                <w:rFonts w:ascii="Verdana" w:hAnsi="Verdana"/>
                <w:sz w:val="20"/>
                <w:szCs w:val="20"/>
              </w:rPr>
            </w:pPr>
            <w:r>
              <w:rPr>
                <w:rFonts w:ascii="Verdana" w:hAnsi="Verdana"/>
                <w:sz w:val="20"/>
                <w:szCs w:val="20"/>
              </w:rPr>
              <w:t>Onko lisäpalvelun ennakoitu arvo otettu huomioon laskettaessa alkuperäisen sopimuksen kokonaisarvoa?</w:t>
            </w:r>
          </w:p>
        </w:tc>
        <w:tc>
          <w:tcPr>
            <w:tcW w:w="1418" w:type="dxa"/>
          </w:tcPr>
          <w:p w14:paraId="3A56A1AC" w14:textId="77777777" w:rsidR="007E3738" w:rsidRPr="007E3738" w:rsidRDefault="007E3738" w:rsidP="007E3738">
            <w:pPr>
              <w:jc w:val="both"/>
              <w:rPr>
                <w:rFonts w:ascii="Verdana" w:hAnsi="Verdana"/>
                <w:sz w:val="20"/>
                <w:szCs w:val="20"/>
              </w:rPr>
            </w:pPr>
          </w:p>
        </w:tc>
        <w:tc>
          <w:tcPr>
            <w:tcW w:w="6769" w:type="dxa"/>
          </w:tcPr>
          <w:p w14:paraId="2885269E" w14:textId="77777777" w:rsidR="007E3738" w:rsidRPr="007E3738" w:rsidRDefault="007E3738" w:rsidP="007E3738">
            <w:pPr>
              <w:jc w:val="both"/>
              <w:rPr>
                <w:rFonts w:ascii="Verdana" w:hAnsi="Verdana"/>
                <w:sz w:val="20"/>
                <w:szCs w:val="20"/>
              </w:rPr>
            </w:pPr>
          </w:p>
        </w:tc>
      </w:tr>
      <w:tr w:rsidR="00CA3720" w:rsidRPr="007E3738" w14:paraId="260E0E86" w14:textId="77777777" w:rsidTr="0074124B">
        <w:tc>
          <w:tcPr>
            <w:tcW w:w="5807" w:type="dxa"/>
          </w:tcPr>
          <w:p w14:paraId="490C7FDA" w14:textId="2BFD0187" w:rsidR="00CA3720" w:rsidRPr="00CA3720" w:rsidRDefault="0074124B" w:rsidP="00CA3720">
            <w:pPr>
              <w:pStyle w:val="Luettelokappale"/>
              <w:numPr>
                <w:ilvl w:val="0"/>
                <w:numId w:val="15"/>
              </w:numPr>
              <w:jc w:val="both"/>
              <w:rPr>
                <w:rFonts w:ascii="Verdana" w:hAnsi="Verdana"/>
                <w:sz w:val="20"/>
                <w:szCs w:val="20"/>
              </w:rPr>
            </w:pPr>
            <w:r w:rsidRPr="00CA3720">
              <w:rPr>
                <w:rFonts w:ascii="Verdana" w:hAnsi="Verdana"/>
                <w:sz w:val="20"/>
                <w:szCs w:val="20"/>
              </w:rPr>
              <w:t xml:space="preserve">Onko lisätilaus tehty kolmen vuoden kuluessa alkuperäisen hankintasopimuksen </w:t>
            </w:r>
            <w:r w:rsidR="001317EC" w:rsidRPr="00CA3720">
              <w:rPr>
                <w:rFonts w:ascii="Verdana" w:hAnsi="Verdana"/>
                <w:sz w:val="20"/>
                <w:szCs w:val="20"/>
              </w:rPr>
              <w:t>solmimisesta</w:t>
            </w:r>
            <w:r w:rsidR="00CA3720">
              <w:rPr>
                <w:rFonts w:ascii="Verdana" w:hAnsi="Verdana"/>
                <w:sz w:val="20"/>
                <w:szCs w:val="20"/>
              </w:rPr>
              <w:t>?</w:t>
            </w:r>
          </w:p>
        </w:tc>
        <w:tc>
          <w:tcPr>
            <w:tcW w:w="1418" w:type="dxa"/>
          </w:tcPr>
          <w:p w14:paraId="7F919958" w14:textId="77777777" w:rsidR="00CA3720" w:rsidRPr="007E3738" w:rsidRDefault="00CA3720" w:rsidP="007E3738">
            <w:pPr>
              <w:jc w:val="both"/>
              <w:rPr>
                <w:rFonts w:ascii="Verdana" w:hAnsi="Verdana"/>
                <w:sz w:val="20"/>
                <w:szCs w:val="20"/>
              </w:rPr>
            </w:pPr>
          </w:p>
        </w:tc>
        <w:tc>
          <w:tcPr>
            <w:tcW w:w="6769" w:type="dxa"/>
          </w:tcPr>
          <w:p w14:paraId="0FB4CC4B" w14:textId="77777777" w:rsidR="00CA3720" w:rsidRPr="007E3738" w:rsidRDefault="00CA3720" w:rsidP="007E3738">
            <w:pPr>
              <w:jc w:val="both"/>
              <w:rPr>
                <w:rFonts w:ascii="Verdana" w:hAnsi="Verdana"/>
                <w:sz w:val="20"/>
                <w:szCs w:val="20"/>
              </w:rPr>
            </w:pPr>
          </w:p>
        </w:tc>
      </w:tr>
    </w:tbl>
    <w:p w14:paraId="47CF5ACB" w14:textId="2174B638" w:rsidR="007E3738" w:rsidRDefault="007E3738" w:rsidP="000D632E">
      <w:pPr>
        <w:jc w:val="both"/>
        <w:rPr>
          <w:rFonts w:ascii="Verdana" w:hAnsi="Verdana"/>
          <w:sz w:val="20"/>
          <w:szCs w:val="20"/>
        </w:rPr>
      </w:pPr>
    </w:p>
    <w:p w14:paraId="775ABD10" w14:textId="2F3AB8BD" w:rsidR="007E3738" w:rsidRPr="000D632E" w:rsidRDefault="002A0DF1" w:rsidP="002A0DF1">
      <w:pPr>
        <w:pStyle w:val="Otsikko1"/>
        <w:numPr>
          <w:ilvl w:val="0"/>
          <w:numId w:val="0"/>
        </w:numPr>
      </w:pPr>
      <w:r>
        <w:t>O</w:t>
      </w:r>
      <w:r w:rsidR="003B1086">
        <w:t>ikeuskäytäntöä lisätilaus -suorahankintaperusteen käytöstä</w:t>
      </w:r>
    </w:p>
    <w:tbl>
      <w:tblPr>
        <w:tblStyle w:val="TaulukkoRuudukko"/>
        <w:tblW w:w="0" w:type="auto"/>
        <w:tblLook w:val="04A0" w:firstRow="1" w:lastRow="0" w:firstColumn="1" w:lastColumn="0" w:noHBand="0" w:noVBand="1"/>
      </w:tblPr>
      <w:tblGrid>
        <w:gridCol w:w="6997"/>
        <w:gridCol w:w="6997"/>
      </w:tblGrid>
      <w:tr w:rsidR="00805996" w:rsidRPr="000D632E" w14:paraId="197BE40B" w14:textId="77777777" w:rsidTr="000D632E">
        <w:trPr>
          <w:trHeight w:val="299"/>
        </w:trPr>
        <w:tc>
          <w:tcPr>
            <w:tcW w:w="13994" w:type="dxa"/>
            <w:gridSpan w:val="2"/>
            <w:shd w:val="clear" w:color="auto" w:fill="DEEAF6" w:themeFill="accent1" w:themeFillTint="33"/>
          </w:tcPr>
          <w:p w14:paraId="08373F26" w14:textId="11C54EA3" w:rsidR="000D632E" w:rsidRPr="000D632E" w:rsidRDefault="00805996" w:rsidP="000D632E">
            <w:pPr>
              <w:jc w:val="center"/>
              <w:rPr>
                <w:rFonts w:ascii="Verdana" w:hAnsi="Verdana"/>
                <w:b/>
                <w:sz w:val="20"/>
                <w:szCs w:val="20"/>
              </w:rPr>
            </w:pPr>
            <w:r w:rsidRPr="000D632E">
              <w:rPr>
                <w:rFonts w:ascii="Verdana" w:hAnsi="Verdana"/>
                <w:b/>
                <w:sz w:val="20"/>
                <w:szCs w:val="20"/>
              </w:rPr>
              <w:t xml:space="preserve">Oikeuskäytäntöä </w:t>
            </w:r>
            <w:r w:rsidR="003721CB">
              <w:rPr>
                <w:rFonts w:ascii="Verdana" w:hAnsi="Verdana"/>
                <w:b/>
                <w:sz w:val="20"/>
                <w:szCs w:val="20"/>
              </w:rPr>
              <w:t>lisätilaus -suorahankintaperusteen</w:t>
            </w:r>
            <w:r w:rsidRPr="000D632E">
              <w:rPr>
                <w:rFonts w:ascii="Verdana" w:hAnsi="Verdana"/>
                <w:b/>
                <w:sz w:val="20"/>
                <w:szCs w:val="20"/>
              </w:rPr>
              <w:t xml:space="preserve"> käytöstä</w:t>
            </w:r>
          </w:p>
          <w:p w14:paraId="159D595A" w14:textId="024EE71C" w:rsidR="009A2CB2" w:rsidRDefault="000D632E" w:rsidP="000D632E">
            <w:pPr>
              <w:jc w:val="center"/>
              <w:rPr>
                <w:rFonts w:ascii="Verdana" w:hAnsi="Verdana"/>
                <w:sz w:val="20"/>
                <w:szCs w:val="20"/>
              </w:rPr>
            </w:pPr>
            <w:r w:rsidRPr="000D632E">
              <w:rPr>
                <w:rFonts w:ascii="Verdana" w:hAnsi="Verdana"/>
                <w:sz w:val="20"/>
                <w:szCs w:val="20"/>
              </w:rPr>
              <w:t xml:space="preserve">Selvityksessä on käyty läpi KHO:n ja </w:t>
            </w:r>
            <w:proofErr w:type="spellStart"/>
            <w:r w:rsidRPr="000D632E">
              <w:rPr>
                <w:rFonts w:ascii="Verdana" w:hAnsi="Verdana"/>
                <w:sz w:val="20"/>
                <w:szCs w:val="20"/>
              </w:rPr>
              <w:t>MAO:n</w:t>
            </w:r>
            <w:proofErr w:type="spellEnd"/>
            <w:r w:rsidRPr="000D632E">
              <w:rPr>
                <w:rFonts w:ascii="Verdana" w:hAnsi="Verdana"/>
                <w:sz w:val="20"/>
                <w:szCs w:val="20"/>
              </w:rPr>
              <w:t xml:space="preserve"> </w:t>
            </w:r>
            <w:r w:rsidR="009A2CB2">
              <w:rPr>
                <w:rFonts w:ascii="Verdana" w:hAnsi="Verdana"/>
                <w:sz w:val="20"/>
                <w:szCs w:val="20"/>
              </w:rPr>
              <w:t xml:space="preserve">lisätilaus-suorahankintaperusteen </w:t>
            </w:r>
            <w:r w:rsidRPr="000D632E">
              <w:rPr>
                <w:rFonts w:ascii="Verdana" w:hAnsi="Verdana"/>
                <w:sz w:val="20"/>
                <w:szCs w:val="20"/>
              </w:rPr>
              <w:t>käyttöön liittyvä oikeuskäytäntö</w:t>
            </w:r>
            <w:r w:rsidR="003721CB">
              <w:rPr>
                <w:rFonts w:ascii="Verdana" w:hAnsi="Verdana"/>
                <w:sz w:val="20"/>
                <w:szCs w:val="20"/>
              </w:rPr>
              <w:t>ä</w:t>
            </w:r>
            <w:r w:rsidRPr="000D632E">
              <w:rPr>
                <w:rFonts w:ascii="Verdana" w:hAnsi="Verdana"/>
                <w:sz w:val="20"/>
                <w:szCs w:val="20"/>
              </w:rPr>
              <w:t xml:space="preserve">. </w:t>
            </w:r>
          </w:p>
          <w:p w14:paraId="4C43B494" w14:textId="77777777" w:rsidR="009A2CB2" w:rsidRDefault="009A2CB2" w:rsidP="000D632E">
            <w:pPr>
              <w:jc w:val="center"/>
              <w:rPr>
                <w:rFonts w:ascii="Verdana" w:hAnsi="Verdana"/>
                <w:sz w:val="20"/>
                <w:szCs w:val="20"/>
              </w:rPr>
            </w:pPr>
          </w:p>
          <w:p w14:paraId="42678C3D" w14:textId="27E7679F" w:rsidR="00805996" w:rsidRPr="000D632E" w:rsidRDefault="000D632E" w:rsidP="000D632E">
            <w:pPr>
              <w:jc w:val="center"/>
              <w:rPr>
                <w:rFonts w:ascii="Verdana" w:hAnsi="Verdana"/>
                <w:sz w:val="20"/>
                <w:szCs w:val="20"/>
              </w:rPr>
            </w:pPr>
            <w:r w:rsidRPr="000D632E">
              <w:rPr>
                <w:rFonts w:ascii="Verdana" w:hAnsi="Verdana"/>
                <w:sz w:val="20"/>
                <w:szCs w:val="20"/>
              </w:rPr>
              <w:t>Kyseessä ei kuitenkaan ole tyhjentävä akateeminen selvitys selvitykseen käytettävissä</w:t>
            </w:r>
            <w:r w:rsidR="00644BA0">
              <w:rPr>
                <w:rFonts w:ascii="Verdana" w:hAnsi="Verdana"/>
                <w:sz w:val="20"/>
                <w:szCs w:val="20"/>
              </w:rPr>
              <w:t xml:space="preserve"> olleen rajallisen ajan vuoksi.</w:t>
            </w:r>
          </w:p>
        </w:tc>
      </w:tr>
      <w:tr w:rsidR="003907A0" w:rsidRPr="000D632E" w14:paraId="1DE84172" w14:textId="77777777" w:rsidTr="00055EE3">
        <w:tc>
          <w:tcPr>
            <w:tcW w:w="6997" w:type="dxa"/>
            <w:shd w:val="clear" w:color="auto" w:fill="E2EFD9" w:themeFill="accent6" w:themeFillTint="33"/>
          </w:tcPr>
          <w:p w14:paraId="7D1CA5A8" w14:textId="49F25D62" w:rsidR="003907A0" w:rsidRPr="000D632E" w:rsidRDefault="006B17CA" w:rsidP="000D632E">
            <w:pPr>
              <w:jc w:val="center"/>
              <w:rPr>
                <w:rFonts w:ascii="Verdana" w:hAnsi="Verdana"/>
                <w:b/>
                <w:sz w:val="20"/>
                <w:szCs w:val="20"/>
              </w:rPr>
            </w:pPr>
            <w:r>
              <w:rPr>
                <w:rFonts w:ascii="Verdana" w:hAnsi="Verdana"/>
                <w:b/>
                <w:sz w:val="20"/>
                <w:szCs w:val="20"/>
              </w:rPr>
              <w:t>SUORAHANKINTA OLI</w:t>
            </w:r>
            <w:r w:rsidR="003907A0" w:rsidRPr="000D632E">
              <w:rPr>
                <w:rFonts w:ascii="Verdana" w:hAnsi="Verdana"/>
                <w:b/>
                <w:sz w:val="20"/>
                <w:szCs w:val="20"/>
              </w:rPr>
              <w:t xml:space="preserve"> SALLITTU</w:t>
            </w:r>
          </w:p>
        </w:tc>
        <w:tc>
          <w:tcPr>
            <w:tcW w:w="6997" w:type="dxa"/>
            <w:shd w:val="clear" w:color="auto" w:fill="F7DDE5"/>
          </w:tcPr>
          <w:p w14:paraId="4F0C1757" w14:textId="28E8A4B7" w:rsidR="003907A0" w:rsidRPr="000D632E" w:rsidRDefault="006B17CA" w:rsidP="000D632E">
            <w:pPr>
              <w:jc w:val="center"/>
              <w:rPr>
                <w:rFonts w:ascii="Verdana" w:hAnsi="Verdana"/>
                <w:b/>
                <w:sz w:val="20"/>
                <w:szCs w:val="20"/>
              </w:rPr>
            </w:pPr>
            <w:r>
              <w:rPr>
                <w:rFonts w:ascii="Verdana" w:hAnsi="Verdana"/>
                <w:b/>
                <w:sz w:val="20"/>
                <w:szCs w:val="20"/>
              </w:rPr>
              <w:t>SUORAHANKINTA OLI</w:t>
            </w:r>
            <w:r w:rsidR="003907A0" w:rsidRPr="000D632E">
              <w:rPr>
                <w:rFonts w:ascii="Verdana" w:hAnsi="Verdana"/>
                <w:b/>
                <w:sz w:val="20"/>
                <w:szCs w:val="20"/>
              </w:rPr>
              <w:t xml:space="preserve"> KIELLETTY</w:t>
            </w:r>
          </w:p>
        </w:tc>
      </w:tr>
      <w:tr w:rsidR="004E6D13" w:rsidRPr="000D632E" w14:paraId="36F15962" w14:textId="77777777" w:rsidTr="00647AE9">
        <w:tc>
          <w:tcPr>
            <w:tcW w:w="6997" w:type="dxa"/>
          </w:tcPr>
          <w:p w14:paraId="6E94CA77" w14:textId="1382B738" w:rsidR="000D0297" w:rsidRDefault="00D0769D" w:rsidP="000D0297">
            <w:pPr>
              <w:jc w:val="both"/>
              <w:rPr>
                <w:rFonts w:ascii="Verdana" w:hAnsi="Verdana"/>
                <w:sz w:val="20"/>
                <w:szCs w:val="20"/>
              </w:rPr>
            </w:pPr>
            <w:hyperlink r:id="rId11" w:history="1">
              <w:r w:rsidR="000D0297" w:rsidRPr="000D0297">
                <w:rPr>
                  <w:rStyle w:val="Hyperlinkki"/>
                  <w:rFonts w:ascii="Verdana" w:hAnsi="Verdana"/>
                  <w:sz w:val="20"/>
                  <w:szCs w:val="20"/>
                </w:rPr>
                <w:t>MAO:75/16</w:t>
              </w:r>
            </w:hyperlink>
          </w:p>
          <w:p w14:paraId="18BB9645" w14:textId="555A3183" w:rsidR="000D0297" w:rsidRDefault="000D0297" w:rsidP="000D0297">
            <w:pPr>
              <w:jc w:val="both"/>
              <w:rPr>
                <w:rFonts w:ascii="Verdana" w:hAnsi="Verdana"/>
                <w:b/>
                <w:sz w:val="20"/>
                <w:szCs w:val="20"/>
              </w:rPr>
            </w:pPr>
          </w:p>
          <w:p w14:paraId="002A443D" w14:textId="162C93CC" w:rsidR="003B1086" w:rsidRDefault="003B1086" w:rsidP="000D0297">
            <w:pPr>
              <w:jc w:val="both"/>
              <w:rPr>
                <w:rFonts w:ascii="Verdana" w:hAnsi="Verdana"/>
                <w:b/>
                <w:sz w:val="20"/>
                <w:szCs w:val="20"/>
              </w:rPr>
            </w:pPr>
            <w:r w:rsidRPr="003B1086">
              <w:rPr>
                <w:rFonts w:ascii="Verdana" w:hAnsi="Verdana"/>
                <w:b/>
                <w:sz w:val="20"/>
                <w:szCs w:val="20"/>
              </w:rPr>
              <w:t>Taustaa</w:t>
            </w:r>
          </w:p>
          <w:p w14:paraId="472EB9D9" w14:textId="77777777" w:rsidR="003B1086" w:rsidRPr="003B1086" w:rsidRDefault="003B1086" w:rsidP="000D0297">
            <w:pPr>
              <w:jc w:val="both"/>
              <w:rPr>
                <w:rFonts w:ascii="Verdana" w:hAnsi="Verdana"/>
                <w:b/>
                <w:sz w:val="20"/>
                <w:szCs w:val="20"/>
              </w:rPr>
            </w:pPr>
          </w:p>
          <w:p w14:paraId="7AC07AF3" w14:textId="71F2AA38" w:rsidR="003B1086" w:rsidRDefault="003B1086" w:rsidP="000D0297">
            <w:pPr>
              <w:jc w:val="both"/>
              <w:rPr>
                <w:rFonts w:ascii="Verdana" w:hAnsi="Verdana"/>
                <w:sz w:val="20"/>
                <w:szCs w:val="20"/>
              </w:rPr>
            </w:pPr>
            <w:r>
              <w:rPr>
                <w:rFonts w:ascii="Verdana" w:hAnsi="Verdana"/>
                <w:sz w:val="20"/>
                <w:szCs w:val="20"/>
              </w:rPr>
              <w:t xml:space="preserve">Hankintayksikkö </w:t>
            </w:r>
            <w:r w:rsidR="000D0297" w:rsidRPr="000D0297">
              <w:rPr>
                <w:rFonts w:ascii="Verdana" w:hAnsi="Verdana"/>
                <w:sz w:val="20"/>
                <w:szCs w:val="20"/>
              </w:rPr>
              <w:t>oli</w:t>
            </w:r>
            <w:r>
              <w:rPr>
                <w:rFonts w:ascii="Verdana" w:hAnsi="Verdana"/>
                <w:sz w:val="20"/>
                <w:szCs w:val="20"/>
              </w:rPr>
              <w:t xml:space="preserve"> </w:t>
            </w:r>
            <w:r w:rsidR="000D0297" w:rsidRPr="000D0297">
              <w:rPr>
                <w:rFonts w:ascii="Verdana" w:hAnsi="Verdana"/>
                <w:sz w:val="20"/>
                <w:szCs w:val="20"/>
              </w:rPr>
              <w:t>tehnyt</w:t>
            </w:r>
            <w:r w:rsidR="00F072E8">
              <w:rPr>
                <w:rFonts w:ascii="Verdana" w:hAnsi="Verdana"/>
                <w:sz w:val="20"/>
                <w:szCs w:val="20"/>
              </w:rPr>
              <w:t xml:space="preserve"> vuonna 2014</w:t>
            </w:r>
            <w:r w:rsidR="000D0297" w:rsidRPr="000D0297">
              <w:rPr>
                <w:rFonts w:ascii="Verdana" w:hAnsi="Verdana"/>
                <w:sz w:val="20"/>
                <w:szCs w:val="20"/>
              </w:rPr>
              <w:t xml:space="preserve"> kilpailutuksen ja hankintapäätöksen </w:t>
            </w:r>
            <w:r w:rsidR="00F072E8">
              <w:rPr>
                <w:rFonts w:ascii="Verdana" w:hAnsi="Verdana"/>
                <w:sz w:val="20"/>
                <w:szCs w:val="20"/>
              </w:rPr>
              <w:t>henkilö</w:t>
            </w:r>
            <w:r w:rsidR="000D0297" w:rsidRPr="000D0297">
              <w:rPr>
                <w:rFonts w:ascii="Verdana" w:hAnsi="Verdana"/>
                <w:sz w:val="20"/>
                <w:szCs w:val="20"/>
              </w:rPr>
              <w:t xml:space="preserve">kuljetuksista vuoden ajalle sekä mahdollisen optiovuoden ajalle. Hankintapäätöksestä ei valitettu. Noin vuoden kuluttua </w:t>
            </w:r>
            <w:r>
              <w:rPr>
                <w:rFonts w:ascii="Verdana" w:hAnsi="Verdana"/>
                <w:sz w:val="20"/>
                <w:szCs w:val="20"/>
              </w:rPr>
              <w:t xml:space="preserve">hankintayksikkö </w:t>
            </w:r>
            <w:r w:rsidR="000D0297" w:rsidRPr="000D0297">
              <w:rPr>
                <w:rFonts w:ascii="Verdana" w:hAnsi="Verdana"/>
                <w:sz w:val="20"/>
                <w:szCs w:val="20"/>
              </w:rPr>
              <w:t>teki uuden päätöksen siitä, että optiokausi otetaan käyttöön viiden kuukauden ajaksi.</w:t>
            </w:r>
          </w:p>
          <w:p w14:paraId="631E6416" w14:textId="77777777" w:rsidR="00CC2769" w:rsidRPr="000D0297" w:rsidRDefault="00CC2769" w:rsidP="000D0297">
            <w:pPr>
              <w:jc w:val="both"/>
              <w:rPr>
                <w:rFonts w:ascii="Verdana" w:hAnsi="Verdana"/>
                <w:sz w:val="20"/>
                <w:szCs w:val="20"/>
              </w:rPr>
            </w:pPr>
          </w:p>
          <w:p w14:paraId="788BF729" w14:textId="77777777" w:rsidR="003B1086" w:rsidRDefault="000D0297" w:rsidP="000D0297">
            <w:pPr>
              <w:jc w:val="both"/>
              <w:rPr>
                <w:rFonts w:ascii="Verdana" w:hAnsi="Verdana"/>
                <w:sz w:val="20"/>
                <w:szCs w:val="20"/>
              </w:rPr>
            </w:pPr>
            <w:r w:rsidRPr="000D0297">
              <w:rPr>
                <w:rFonts w:ascii="Verdana" w:hAnsi="Verdana"/>
                <w:sz w:val="20"/>
                <w:szCs w:val="20"/>
              </w:rPr>
              <w:t xml:space="preserve">Valittaja, joka oli yksi alkuperäisen kisan tarjoajista, piti ongelmallisena sitä, että </w:t>
            </w:r>
            <w:r w:rsidRPr="003B1086">
              <w:rPr>
                <w:rFonts w:ascii="Verdana" w:hAnsi="Verdana"/>
                <w:b/>
                <w:sz w:val="20"/>
                <w:szCs w:val="20"/>
              </w:rPr>
              <w:t>hankintasopimuksessa</w:t>
            </w:r>
            <w:r w:rsidRPr="000D0297">
              <w:rPr>
                <w:rFonts w:ascii="Verdana" w:hAnsi="Verdana"/>
                <w:sz w:val="20"/>
                <w:szCs w:val="20"/>
              </w:rPr>
              <w:t xml:space="preserve"> ei ollut </w:t>
            </w:r>
            <w:r w:rsidRPr="000D0297">
              <w:rPr>
                <w:rFonts w:ascii="Verdana" w:hAnsi="Verdana"/>
                <w:sz w:val="20"/>
                <w:szCs w:val="20"/>
              </w:rPr>
              <w:lastRenderedPageBreak/>
              <w:t xml:space="preserve">mainintaa option käytöstä. Valittajan mielestä optiossa oli kyse uudesta palveluhankinnasta. </w:t>
            </w:r>
          </w:p>
          <w:p w14:paraId="34E34164" w14:textId="04431E0A" w:rsidR="003B1086" w:rsidRDefault="003B1086" w:rsidP="000D0297">
            <w:pPr>
              <w:jc w:val="both"/>
              <w:rPr>
                <w:rFonts w:ascii="Verdana" w:hAnsi="Verdana"/>
                <w:sz w:val="20"/>
                <w:szCs w:val="20"/>
              </w:rPr>
            </w:pPr>
          </w:p>
          <w:p w14:paraId="1DE4106B" w14:textId="4F86ECE5" w:rsidR="003B1086" w:rsidRDefault="003B1086" w:rsidP="000D0297">
            <w:pPr>
              <w:jc w:val="both"/>
              <w:rPr>
                <w:rFonts w:ascii="Verdana" w:hAnsi="Verdana"/>
                <w:b/>
                <w:sz w:val="20"/>
                <w:szCs w:val="20"/>
              </w:rPr>
            </w:pPr>
            <w:proofErr w:type="spellStart"/>
            <w:r>
              <w:rPr>
                <w:rFonts w:ascii="Verdana" w:hAnsi="Verdana"/>
                <w:b/>
                <w:sz w:val="20"/>
                <w:szCs w:val="20"/>
              </w:rPr>
              <w:t>MAO:n</w:t>
            </w:r>
            <w:proofErr w:type="spellEnd"/>
            <w:r>
              <w:rPr>
                <w:rFonts w:ascii="Verdana" w:hAnsi="Verdana"/>
                <w:b/>
                <w:sz w:val="20"/>
                <w:szCs w:val="20"/>
              </w:rPr>
              <w:t xml:space="preserve"> ratkaisu</w:t>
            </w:r>
          </w:p>
          <w:p w14:paraId="063ADA5F" w14:textId="77777777" w:rsidR="003B1086" w:rsidRPr="003B1086" w:rsidRDefault="003B1086" w:rsidP="000D0297">
            <w:pPr>
              <w:jc w:val="both"/>
              <w:rPr>
                <w:rFonts w:ascii="Verdana" w:hAnsi="Verdana"/>
                <w:b/>
                <w:sz w:val="20"/>
                <w:szCs w:val="20"/>
              </w:rPr>
            </w:pPr>
          </w:p>
          <w:p w14:paraId="676E16E7" w14:textId="51A7FEB5" w:rsidR="000D0297" w:rsidRPr="000D0297" w:rsidRDefault="000D0297" w:rsidP="000D0297">
            <w:pPr>
              <w:jc w:val="both"/>
              <w:rPr>
                <w:rFonts w:ascii="Verdana" w:hAnsi="Verdana"/>
                <w:sz w:val="20"/>
                <w:szCs w:val="20"/>
              </w:rPr>
            </w:pPr>
            <w:r w:rsidRPr="000D0297">
              <w:rPr>
                <w:rFonts w:ascii="Verdana" w:hAnsi="Verdana"/>
                <w:sz w:val="20"/>
                <w:szCs w:val="20"/>
              </w:rPr>
              <w:t xml:space="preserve">Kaupunki ei </w:t>
            </w:r>
            <w:proofErr w:type="spellStart"/>
            <w:r w:rsidRPr="000D0297">
              <w:rPr>
                <w:rFonts w:ascii="Verdana" w:hAnsi="Verdana"/>
                <w:sz w:val="20"/>
                <w:szCs w:val="20"/>
              </w:rPr>
              <w:t>MAO:n</w:t>
            </w:r>
            <w:proofErr w:type="spellEnd"/>
            <w:r w:rsidRPr="000D0297">
              <w:rPr>
                <w:rFonts w:ascii="Verdana" w:hAnsi="Verdana"/>
                <w:sz w:val="20"/>
                <w:szCs w:val="20"/>
              </w:rPr>
              <w:t xml:space="preserve"> mukaan ollut toiminut virheellisesti, koska optiosta oli ilmoitettu jo </w:t>
            </w:r>
            <w:r w:rsidRPr="003B1086">
              <w:rPr>
                <w:rFonts w:ascii="Verdana" w:hAnsi="Verdana"/>
                <w:sz w:val="20"/>
                <w:szCs w:val="20"/>
              </w:rPr>
              <w:t>alkuperäisessä</w:t>
            </w:r>
            <w:r w:rsidRPr="003B1086">
              <w:rPr>
                <w:rFonts w:ascii="Verdana" w:hAnsi="Verdana"/>
                <w:b/>
                <w:sz w:val="20"/>
                <w:szCs w:val="20"/>
              </w:rPr>
              <w:t xml:space="preserve"> hankintailmoituksessa</w:t>
            </w:r>
            <w:r w:rsidRPr="000D0297">
              <w:rPr>
                <w:rFonts w:ascii="Verdana" w:hAnsi="Verdana"/>
                <w:sz w:val="20"/>
                <w:szCs w:val="20"/>
              </w:rPr>
              <w:t xml:space="preserve"> ja option arvo oli laskettu mukaan hankinnan arvoon. </w:t>
            </w:r>
            <w:proofErr w:type="spellStart"/>
            <w:r w:rsidRPr="000D0297">
              <w:rPr>
                <w:rFonts w:ascii="Verdana" w:hAnsi="Verdana"/>
                <w:sz w:val="20"/>
                <w:szCs w:val="20"/>
              </w:rPr>
              <w:t>MAO:n</w:t>
            </w:r>
            <w:proofErr w:type="spellEnd"/>
            <w:r w:rsidRPr="000D0297">
              <w:rPr>
                <w:rFonts w:ascii="Verdana" w:hAnsi="Verdana"/>
                <w:sz w:val="20"/>
                <w:szCs w:val="20"/>
              </w:rPr>
              <w:t xml:space="preserve"> mukaan option käyttöönottopäätöksessä oli kyse hankintalain 28 §:n mukaisesta sallitusta suorahankintatilanteesta. Sillä ei ollut merkitystä, ettei sopimuksessa ollut mainintaa optiosta.</w:t>
            </w:r>
          </w:p>
          <w:p w14:paraId="0783C2D0" w14:textId="77777777" w:rsidR="006630C0" w:rsidRDefault="006630C0" w:rsidP="00AD4DB3">
            <w:pPr>
              <w:jc w:val="both"/>
              <w:rPr>
                <w:rFonts w:ascii="Verdana" w:hAnsi="Verdana"/>
                <w:sz w:val="20"/>
                <w:szCs w:val="20"/>
              </w:rPr>
            </w:pPr>
          </w:p>
          <w:p w14:paraId="3CF65AB1" w14:textId="44F1B399" w:rsidR="000D0297" w:rsidRPr="000D632E" w:rsidRDefault="000D0297" w:rsidP="00AD4DB3">
            <w:pPr>
              <w:jc w:val="both"/>
              <w:rPr>
                <w:rFonts w:ascii="Verdana" w:hAnsi="Verdana"/>
                <w:sz w:val="20"/>
                <w:szCs w:val="20"/>
              </w:rPr>
            </w:pPr>
          </w:p>
        </w:tc>
        <w:tc>
          <w:tcPr>
            <w:tcW w:w="6997" w:type="dxa"/>
          </w:tcPr>
          <w:p w14:paraId="147D3277" w14:textId="77777777" w:rsidR="004E6D13" w:rsidRDefault="00D0769D" w:rsidP="000D632E">
            <w:pPr>
              <w:jc w:val="both"/>
              <w:rPr>
                <w:rFonts w:ascii="Verdana" w:hAnsi="Verdana"/>
                <w:sz w:val="20"/>
                <w:szCs w:val="20"/>
              </w:rPr>
            </w:pPr>
            <w:hyperlink r:id="rId12" w:history="1">
              <w:proofErr w:type="gramStart"/>
              <w:r w:rsidR="006B17CA" w:rsidRPr="006B17CA">
                <w:rPr>
                  <w:rStyle w:val="Hyperlinkki"/>
                  <w:rFonts w:ascii="Verdana" w:hAnsi="Verdana"/>
                  <w:sz w:val="20"/>
                  <w:szCs w:val="20"/>
                </w:rPr>
                <w:t>KHO:2010:20</w:t>
              </w:r>
              <w:proofErr w:type="gramEnd"/>
            </w:hyperlink>
          </w:p>
          <w:p w14:paraId="1C067713" w14:textId="77777777" w:rsidR="006B17CA" w:rsidRDefault="006B17CA" w:rsidP="000D632E">
            <w:pPr>
              <w:jc w:val="both"/>
              <w:rPr>
                <w:rFonts w:ascii="Verdana" w:hAnsi="Verdana"/>
                <w:sz w:val="20"/>
                <w:szCs w:val="20"/>
              </w:rPr>
            </w:pPr>
          </w:p>
          <w:p w14:paraId="131E0B17" w14:textId="77777777" w:rsidR="006B17CA" w:rsidRPr="006B17CA" w:rsidRDefault="006B17CA" w:rsidP="006B17CA">
            <w:pPr>
              <w:jc w:val="both"/>
              <w:rPr>
                <w:rFonts w:ascii="Verdana" w:hAnsi="Verdana"/>
                <w:sz w:val="20"/>
                <w:szCs w:val="20"/>
              </w:rPr>
            </w:pPr>
            <w:r w:rsidRPr="006B17CA">
              <w:rPr>
                <w:rFonts w:ascii="Verdana" w:hAnsi="Verdana"/>
                <w:sz w:val="20"/>
                <w:szCs w:val="20"/>
              </w:rPr>
              <w:t xml:space="preserve">Hankintayksikkö oli tehnyt kuntaliitostilanteessa oppilashallintojärjestelmän suorahankinnan siten, että suorahankinnalla oli laajennettu yhden järjestelmän käyttö kaikkiin kuntaliitoskuntiin. Ennen kuntaliitosta kunnissa oli ollut käytössä kahdenlaisia järjestelmiä.  Hankintayksikkö oli kuntaliitoksen myötä katsonut johdonmukaiseksi yhden oppilashallintojärjestelmän ylläpitämisen, joten se oli tehnyt suorahankinnan toisen käytössä olleen oppilashallintojärjestelmän käyttöönotosta. Hankintayksikkö perusteli suorahankintaa muun ohella sillä, että jo osittain käytössä </w:t>
            </w:r>
            <w:r w:rsidRPr="006B17CA">
              <w:rPr>
                <w:rFonts w:ascii="Verdana" w:hAnsi="Verdana"/>
                <w:sz w:val="20"/>
                <w:szCs w:val="20"/>
              </w:rPr>
              <w:lastRenderedPageBreak/>
              <w:t>olevan oppilashallintojärjestelmän pystyi toteuttamaan teknisistä syistä ainoastaan yksi toimittaja.</w:t>
            </w:r>
          </w:p>
          <w:p w14:paraId="029C250F" w14:textId="77777777" w:rsidR="006B17CA" w:rsidRPr="006B17CA" w:rsidRDefault="006B17CA" w:rsidP="006B17CA">
            <w:pPr>
              <w:jc w:val="both"/>
              <w:rPr>
                <w:rFonts w:ascii="Verdana" w:hAnsi="Verdana"/>
                <w:sz w:val="20"/>
                <w:szCs w:val="20"/>
              </w:rPr>
            </w:pPr>
          </w:p>
          <w:p w14:paraId="3B4670AA" w14:textId="77777777" w:rsidR="006B17CA" w:rsidRPr="006B17CA" w:rsidRDefault="006B17CA" w:rsidP="006B17CA">
            <w:pPr>
              <w:jc w:val="both"/>
              <w:rPr>
                <w:rFonts w:ascii="Verdana" w:hAnsi="Verdana"/>
                <w:sz w:val="20"/>
                <w:szCs w:val="20"/>
              </w:rPr>
            </w:pPr>
            <w:r w:rsidRPr="006B17CA">
              <w:rPr>
                <w:rFonts w:ascii="Verdana" w:hAnsi="Verdana"/>
                <w:sz w:val="20"/>
                <w:szCs w:val="20"/>
              </w:rPr>
              <w:t xml:space="preserve">KHO:n mukaan hankintalain 28 §:n 1 momentin säännöksen ei voitu katsoa soveltuvan tilanteeseen, jossa kaupungilla on voimassa kaksi eri sopimusta ja jossa hankintayksikkö luopuen toisesta sopimuksesta tekee valinnan siitä, kummalta sopijapuoleltaan se tekee lisätilauksen. </w:t>
            </w:r>
          </w:p>
          <w:p w14:paraId="185CF6CA" w14:textId="77777777" w:rsidR="006B17CA" w:rsidRPr="006B17CA" w:rsidRDefault="006B17CA" w:rsidP="006B17CA">
            <w:pPr>
              <w:jc w:val="both"/>
              <w:rPr>
                <w:rFonts w:ascii="Verdana" w:hAnsi="Verdana"/>
                <w:sz w:val="20"/>
                <w:szCs w:val="20"/>
              </w:rPr>
            </w:pPr>
          </w:p>
          <w:p w14:paraId="5A9C3D87" w14:textId="4174635F" w:rsidR="006B17CA" w:rsidRPr="000D632E" w:rsidRDefault="006B17CA" w:rsidP="006B17CA">
            <w:pPr>
              <w:jc w:val="both"/>
              <w:rPr>
                <w:rFonts w:ascii="Verdana" w:hAnsi="Verdana"/>
                <w:sz w:val="20"/>
                <w:szCs w:val="20"/>
              </w:rPr>
            </w:pPr>
            <w:r w:rsidRPr="006B17CA">
              <w:rPr>
                <w:rFonts w:ascii="Verdana" w:hAnsi="Verdana"/>
                <w:b/>
                <w:sz w:val="20"/>
                <w:szCs w:val="20"/>
              </w:rPr>
              <w:t>KHO:n ratkaisun perusteella voidaan todeta, ettei hankintalain 41.1 §:n mukainen suorahankinta ole mahdollinen, jos lisätilauksen voisi toteuttaa useampi toimija markkinoilla. Tässä tapauksessa lisätilauksen olisi voinut toteuttaa jompikumpi aiemmista järjestelmätoimittajista.</w:t>
            </w:r>
          </w:p>
        </w:tc>
      </w:tr>
      <w:tr w:rsidR="00B856D8" w:rsidRPr="000D632E" w14:paraId="6497CD54" w14:textId="77777777" w:rsidTr="00647AE9">
        <w:tc>
          <w:tcPr>
            <w:tcW w:w="6997" w:type="dxa"/>
          </w:tcPr>
          <w:p w14:paraId="3E38A5B9" w14:textId="77777777" w:rsidR="000D0297" w:rsidRPr="000D0297" w:rsidRDefault="000D0297" w:rsidP="000D0297">
            <w:pPr>
              <w:jc w:val="both"/>
              <w:rPr>
                <w:rFonts w:ascii="Verdana" w:hAnsi="Verdana"/>
                <w:sz w:val="20"/>
                <w:szCs w:val="20"/>
              </w:rPr>
            </w:pPr>
          </w:p>
          <w:p w14:paraId="22509157" w14:textId="77777777" w:rsidR="00B856D8" w:rsidRPr="000D632E" w:rsidRDefault="00B856D8" w:rsidP="00AD4DB3">
            <w:pPr>
              <w:jc w:val="both"/>
              <w:rPr>
                <w:rFonts w:ascii="Verdana" w:hAnsi="Verdana"/>
                <w:sz w:val="20"/>
                <w:szCs w:val="20"/>
              </w:rPr>
            </w:pPr>
          </w:p>
        </w:tc>
        <w:tc>
          <w:tcPr>
            <w:tcW w:w="6997" w:type="dxa"/>
          </w:tcPr>
          <w:p w14:paraId="26F43D32" w14:textId="261CAD71" w:rsidR="00B856D8" w:rsidRPr="004B17EE" w:rsidRDefault="00D0769D" w:rsidP="00B856D8">
            <w:pPr>
              <w:jc w:val="both"/>
              <w:rPr>
                <w:rFonts w:ascii="Verdana" w:hAnsi="Verdana"/>
                <w:sz w:val="20"/>
              </w:rPr>
            </w:pPr>
            <w:hyperlink r:id="rId13" w:history="1">
              <w:r w:rsidR="00B856D8" w:rsidRPr="004B17EE">
                <w:rPr>
                  <w:rStyle w:val="Hyperlinkki"/>
                  <w:rFonts w:ascii="Verdana" w:hAnsi="Verdana"/>
                  <w:sz w:val="20"/>
                </w:rPr>
                <w:t>MAO:837/17</w:t>
              </w:r>
            </w:hyperlink>
          </w:p>
          <w:p w14:paraId="35369F91" w14:textId="3ECC9107" w:rsidR="00B856D8" w:rsidRDefault="00B856D8" w:rsidP="00B856D8">
            <w:pPr>
              <w:jc w:val="both"/>
            </w:pPr>
          </w:p>
          <w:p w14:paraId="48E49AF3" w14:textId="3B9D8536" w:rsidR="00B856D8" w:rsidRPr="004B17EE" w:rsidRDefault="00B856D8" w:rsidP="00B856D8">
            <w:pPr>
              <w:jc w:val="both"/>
              <w:rPr>
                <w:rFonts w:ascii="Verdana" w:hAnsi="Verdana"/>
                <w:sz w:val="20"/>
              </w:rPr>
            </w:pPr>
            <w:r w:rsidRPr="004B17EE">
              <w:rPr>
                <w:rFonts w:ascii="Verdana" w:hAnsi="Verdana"/>
                <w:sz w:val="20"/>
              </w:rPr>
              <w:t xml:space="preserve">(Ks. </w:t>
            </w:r>
            <w:r w:rsidR="008C7448" w:rsidRPr="004B17EE">
              <w:rPr>
                <w:rFonts w:ascii="Verdana" w:hAnsi="Verdana"/>
                <w:sz w:val="20"/>
              </w:rPr>
              <w:t>asiakirja ”Analyysityökalu suorahankinta äärimmäinen kiire”</w:t>
            </w:r>
            <w:r w:rsidRPr="004B17EE">
              <w:rPr>
                <w:rFonts w:ascii="Verdana" w:hAnsi="Verdana"/>
                <w:sz w:val="20"/>
              </w:rPr>
              <w:t>)</w:t>
            </w:r>
          </w:p>
          <w:p w14:paraId="07E48390" w14:textId="77777777" w:rsidR="00B856D8" w:rsidRDefault="00B856D8" w:rsidP="000D632E">
            <w:pPr>
              <w:jc w:val="both"/>
            </w:pPr>
          </w:p>
        </w:tc>
      </w:tr>
      <w:tr w:rsidR="00CA6A43" w:rsidRPr="000D632E" w14:paraId="369D3328" w14:textId="77777777" w:rsidTr="00647AE9">
        <w:tc>
          <w:tcPr>
            <w:tcW w:w="6997" w:type="dxa"/>
          </w:tcPr>
          <w:p w14:paraId="14F06853" w14:textId="77777777" w:rsidR="00CA6A43" w:rsidRPr="000D0297" w:rsidRDefault="00CA6A43" w:rsidP="000D0297">
            <w:pPr>
              <w:jc w:val="both"/>
              <w:rPr>
                <w:rFonts w:ascii="Verdana" w:hAnsi="Verdana"/>
                <w:sz w:val="20"/>
                <w:szCs w:val="20"/>
              </w:rPr>
            </w:pPr>
          </w:p>
        </w:tc>
        <w:tc>
          <w:tcPr>
            <w:tcW w:w="6997" w:type="dxa"/>
          </w:tcPr>
          <w:p w14:paraId="0857CFA3" w14:textId="5EDA8919" w:rsidR="00CA6A43" w:rsidRDefault="00D0769D" w:rsidP="00CA6A43">
            <w:pPr>
              <w:jc w:val="both"/>
              <w:rPr>
                <w:rFonts w:ascii="Verdana" w:hAnsi="Verdana"/>
                <w:sz w:val="20"/>
                <w:szCs w:val="20"/>
              </w:rPr>
            </w:pPr>
            <w:hyperlink r:id="rId14" w:history="1">
              <w:r w:rsidR="00CA6A43" w:rsidRPr="00B17171">
                <w:rPr>
                  <w:rStyle w:val="Hyperlinkki"/>
                  <w:rFonts w:ascii="Verdana" w:hAnsi="Verdana"/>
                  <w:sz w:val="20"/>
                  <w:szCs w:val="20"/>
                </w:rPr>
                <w:t>MAO:479/17</w:t>
              </w:r>
            </w:hyperlink>
          </w:p>
          <w:p w14:paraId="2BC5545E" w14:textId="77777777" w:rsidR="00CA6A43" w:rsidRDefault="00CA6A43" w:rsidP="00CA6A43">
            <w:pPr>
              <w:jc w:val="both"/>
              <w:rPr>
                <w:rFonts w:ascii="Verdana" w:hAnsi="Verdana"/>
                <w:b/>
                <w:sz w:val="20"/>
                <w:szCs w:val="20"/>
              </w:rPr>
            </w:pPr>
            <w:r>
              <w:rPr>
                <w:rFonts w:ascii="Verdana" w:hAnsi="Verdana"/>
                <w:b/>
                <w:sz w:val="20"/>
                <w:szCs w:val="20"/>
              </w:rPr>
              <w:t>Taustaa</w:t>
            </w:r>
          </w:p>
          <w:p w14:paraId="4C425DCF" w14:textId="77777777" w:rsidR="00CA6A43" w:rsidRPr="00674D6E" w:rsidRDefault="00CA6A43" w:rsidP="00CA6A43">
            <w:pPr>
              <w:jc w:val="both"/>
              <w:rPr>
                <w:rFonts w:ascii="Verdana" w:hAnsi="Verdana"/>
                <w:b/>
                <w:sz w:val="20"/>
                <w:szCs w:val="20"/>
              </w:rPr>
            </w:pPr>
          </w:p>
          <w:p w14:paraId="63616B85" w14:textId="32D7DB8B" w:rsidR="00CA6A43" w:rsidRPr="00B17171" w:rsidRDefault="00CA6A43" w:rsidP="00CA6A43">
            <w:pPr>
              <w:jc w:val="both"/>
              <w:rPr>
                <w:rFonts w:ascii="Verdana" w:hAnsi="Verdana"/>
                <w:sz w:val="20"/>
                <w:szCs w:val="20"/>
              </w:rPr>
            </w:pPr>
            <w:r>
              <w:rPr>
                <w:rFonts w:ascii="Verdana" w:hAnsi="Verdana"/>
                <w:sz w:val="20"/>
                <w:szCs w:val="20"/>
              </w:rPr>
              <w:t xml:space="preserve">Hankintayksikkö oli hankkinut </w:t>
            </w:r>
            <w:r w:rsidRPr="00B17171">
              <w:rPr>
                <w:rFonts w:ascii="Verdana" w:hAnsi="Verdana"/>
                <w:sz w:val="20"/>
                <w:szCs w:val="20"/>
              </w:rPr>
              <w:t>suorahankintana valaisimien tavara- ja palveluhankinnan.</w:t>
            </w:r>
            <w:r w:rsidR="005A6108">
              <w:rPr>
                <w:rFonts w:ascii="Verdana" w:hAnsi="Verdana"/>
                <w:sz w:val="20"/>
                <w:szCs w:val="20"/>
              </w:rPr>
              <w:t xml:space="preserve"> </w:t>
            </w:r>
            <w:r w:rsidRPr="00B17171">
              <w:rPr>
                <w:rFonts w:ascii="Verdana" w:hAnsi="Verdana"/>
                <w:sz w:val="20"/>
                <w:szCs w:val="20"/>
              </w:rPr>
              <w:t>Suorahankintaa koskevassa ilm</w:t>
            </w:r>
            <w:r w:rsidR="005A41A1">
              <w:rPr>
                <w:rFonts w:ascii="Verdana" w:hAnsi="Verdana"/>
                <w:sz w:val="20"/>
                <w:szCs w:val="20"/>
              </w:rPr>
              <w:t>oituksessa sopimuskumppaniksi oli</w:t>
            </w:r>
            <w:r w:rsidRPr="00B17171">
              <w:rPr>
                <w:rFonts w:ascii="Verdana" w:hAnsi="Verdana"/>
                <w:sz w:val="20"/>
                <w:szCs w:val="20"/>
              </w:rPr>
              <w:t xml:space="preserve"> ilmoitettu Pori Energia Oy.</w:t>
            </w:r>
          </w:p>
          <w:p w14:paraId="2B66C607" w14:textId="77777777" w:rsidR="00CA6A43" w:rsidRDefault="00CA6A43" w:rsidP="00CA6A43">
            <w:pPr>
              <w:jc w:val="both"/>
              <w:rPr>
                <w:rFonts w:ascii="Verdana" w:hAnsi="Verdana"/>
                <w:sz w:val="20"/>
                <w:szCs w:val="20"/>
              </w:rPr>
            </w:pPr>
          </w:p>
          <w:p w14:paraId="20C7C5EC" w14:textId="3DAABC3B" w:rsidR="00CA6A43" w:rsidRDefault="00CA6A43" w:rsidP="00CA6A43">
            <w:pPr>
              <w:jc w:val="both"/>
              <w:rPr>
                <w:rFonts w:ascii="Verdana" w:hAnsi="Verdana"/>
                <w:sz w:val="20"/>
                <w:szCs w:val="20"/>
              </w:rPr>
            </w:pPr>
            <w:r>
              <w:rPr>
                <w:rFonts w:ascii="Verdana" w:hAnsi="Verdana"/>
                <w:sz w:val="20"/>
                <w:szCs w:val="20"/>
              </w:rPr>
              <w:t>Perusteeksi suorahankinnalle oli</w:t>
            </w:r>
            <w:r w:rsidRPr="00B17171">
              <w:rPr>
                <w:rFonts w:ascii="Verdana" w:hAnsi="Verdana"/>
                <w:sz w:val="20"/>
                <w:szCs w:val="20"/>
              </w:rPr>
              <w:t xml:space="preserve"> hankintailmoituksessa esitetty se, että </w:t>
            </w:r>
            <w:r>
              <w:rPr>
                <w:rFonts w:ascii="Verdana" w:hAnsi="Verdana"/>
                <w:sz w:val="20"/>
                <w:szCs w:val="20"/>
              </w:rPr>
              <w:t xml:space="preserve">hankintayksikön </w:t>
            </w:r>
            <w:r w:rsidRPr="00B17171">
              <w:rPr>
                <w:rFonts w:ascii="Verdana" w:hAnsi="Verdana"/>
                <w:sz w:val="20"/>
                <w:szCs w:val="20"/>
              </w:rPr>
              <w:t>teknisellä palvelukeskuksella on huolto-, kunnossapito- ja käyttösopimus Pori Energia Oy:n kanssa</w:t>
            </w:r>
            <w:r>
              <w:rPr>
                <w:rFonts w:ascii="Verdana" w:hAnsi="Verdana"/>
                <w:sz w:val="20"/>
                <w:szCs w:val="20"/>
              </w:rPr>
              <w:t>, jolloin hankinta olisi lisätilaus</w:t>
            </w:r>
            <w:r w:rsidRPr="00B17171">
              <w:rPr>
                <w:rFonts w:ascii="Verdana" w:hAnsi="Verdana"/>
                <w:sz w:val="20"/>
                <w:szCs w:val="20"/>
              </w:rPr>
              <w:t xml:space="preserve">. </w:t>
            </w:r>
          </w:p>
          <w:p w14:paraId="5A03ED16" w14:textId="77777777" w:rsidR="008D326F" w:rsidRDefault="008D326F" w:rsidP="00CA6A43">
            <w:pPr>
              <w:jc w:val="both"/>
              <w:rPr>
                <w:rFonts w:ascii="Verdana" w:hAnsi="Verdana"/>
                <w:sz w:val="20"/>
                <w:szCs w:val="20"/>
              </w:rPr>
            </w:pPr>
          </w:p>
          <w:p w14:paraId="2B00BE3C" w14:textId="77777777" w:rsidR="00CA6A43" w:rsidRDefault="00CA6A43" w:rsidP="00CA6A43">
            <w:pPr>
              <w:jc w:val="both"/>
              <w:rPr>
                <w:rFonts w:ascii="Verdana" w:hAnsi="Verdana"/>
                <w:sz w:val="20"/>
                <w:szCs w:val="20"/>
              </w:rPr>
            </w:pPr>
            <w:r w:rsidRPr="00B17171">
              <w:rPr>
                <w:rFonts w:ascii="Verdana" w:hAnsi="Verdana"/>
                <w:sz w:val="20"/>
                <w:szCs w:val="20"/>
              </w:rPr>
              <w:t xml:space="preserve">Suorahankintailmoituksessa </w:t>
            </w:r>
            <w:r>
              <w:rPr>
                <w:rFonts w:ascii="Verdana" w:hAnsi="Verdana"/>
                <w:sz w:val="20"/>
                <w:szCs w:val="20"/>
              </w:rPr>
              <w:t xml:space="preserve">oli edelleen </w:t>
            </w:r>
            <w:r w:rsidRPr="00B17171">
              <w:rPr>
                <w:rFonts w:ascii="Verdana" w:hAnsi="Verdana"/>
                <w:sz w:val="20"/>
                <w:szCs w:val="20"/>
              </w:rPr>
              <w:t>s</w:t>
            </w:r>
            <w:r>
              <w:rPr>
                <w:rFonts w:ascii="Verdana" w:hAnsi="Verdana"/>
                <w:sz w:val="20"/>
                <w:szCs w:val="20"/>
              </w:rPr>
              <w:t>elostettu, että ledien vaihto oli</w:t>
            </w:r>
            <w:r w:rsidRPr="00B17171">
              <w:rPr>
                <w:rFonts w:ascii="Verdana" w:hAnsi="Verdana"/>
                <w:sz w:val="20"/>
                <w:szCs w:val="20"/>
              </w:rPr>
              <w:t xml:space="preserve"> tarkoitus hoitaa osaprosessina yhdessä </w:t>
            </w:r>
            <w:r w:rsidRPr="00B17171">
              <w:rPr>
                <w:rFonts w:ascii="Verdana" w:hAnsi="Verdana"/>
                <w:sz w:val="20"/>
                <w:szCs w:val="20"/>
              </w:rPr>
              <w:lastRenderedPageBreak/>
              <w:t>kunnossapitosopimuksen huoltokierrosten kanssa ja että sopimukseen liittyy myös valaistuksen ohjaus ja rahoitus.</w:t>
            </w:r>
          </w:p>
          <w:p w14:paraId="568ED2EC" w14:textId="77777777" w:rsidR="00CA6A43" w:rsidRDefault="00CA6A43" w:rsidP="00CA6A43">
            <w:pPr>
              <w:jc w:val="both"/>
              <w:rPr>
                <w:rFonts w:ascii="Verdana" w:hAnsi="Verdana"/>
                <w:sz w:val="20"/>
                <w:szCs w:val="20"/>
              </w:rPr>
            </w:pPr>
          </w:p>
          <w:p w14:paraId="403E7A61" w14:textId="77777777" w:rsidR="00CA6A43" w:rsidRDefault="00CA6A43" w:rsidP="00CA6A43">
            <w:pPr>
              <w:jc w:val="both"/>
              <w:rPr>
                <w:rFonts w:ascii="Verdana" w:hAnsi="Verdana"/>
                <w:sz w:val="20"/>
                <w:szCs w:val="20"/>
              </w:rPr>
            </w:pPr>
            <w:r>
              <w:rPr>
                <w:rFonts w:ascii="Verdana" w:hAnsi="Verdana"/>
                <w:sz w:val="20"/>
                <w:szCs w:val="20"/>
              </w:rPr>
              <w:t xml:space="preserve">Hankintayksikkö vetosi siihen, että </w:t>
            </w:r>
            <w:r w:rsidRPr="00B17171">
              <w:rPr>
                <w:rFonts w:ascii="Verdana" w:hAnsi="Verdana"/>
                <w:sz w:val="20"/>
                <w:szCs w:val="20"/>
              </w:rPr>
              <w:t>muunlaisen ohjausjärjestelmän hankinta tulisi erittäin kalliiksi ja että lisäksi hankinta liittyy oleellisesti Pori Energian Oy:n kanssa laadittuun valaistuksen kunnossapito- ja huoltosopimukseen.</w:t>
            </w:r>
          </w:p>
          <w:p w14:paraId="37E9C27E" w14:textId="77777777" w:rsidR="00CA6A43" w:rsidRDefault="00CA6A43" w:rsidP="00CA6A43">
            <w:pPr>
              <w:jc w:val="both"/>
              <w:rPr>
                <w:rFonts w:ascii="Verdana" w:hAnsi="Verdana"/>
                <w:sz w:val="20"/>
                <w:szCs w:val="20"/>
              </w:rPr>
            </w:pPr>
          </w:p>
          <w:p w14:paraId="1DD71ACA" w14:textId="77777777" w:rsidR="00CA6A43" w:rsidRDefault="00CA6A43" w:rsidP="00CA6A43">
            <w:pPr>
              <w:jc w:val="both"/>
              <w:rPr>
                <w:rFonts w:ascii="Verdana" w:hAnsi="Verdana"/>
                <w:b/>
                <w:sz w:val="20"/>
                <w:szCs w:val="20"/>
              </w:rPr>
            </w:pPr>
            <w:proofErr w:type="spellStart"/>
            <w:r>
              <w:rPr>
                <w:rFonts w:ascii="Verdana" w:hAnsi="Verdana"/>
                <w:b/>
                <w:sz w:val="20"/>
                <w:szCs w:val="20"/>
              </w:rPr>
              <w:t>MAO:n</w:t>
            </w:r>
            <w:proofErr w:type="spellEnd"/>
            <w:r>
              <w:rPr>
                <w:rFonts w:ascii="Verdana" w:hAnsi="Verdana"/>
                <w:b/>
                <w:sz w:val="20"/>
                <w:szCs w:val="20"/>
              </w:rPr>
              <w:t xml:space="preserve"> ratkaisu</w:t>
            </w:r>
          </w:p>
          <w:p w14:paraId="602B8801" w14:textId="77777777" w:rsidR="00CA6A43" w:rsidRPr="005578FC" w:rsidRDefault="00CA6A43" w:rsidP="00CA6A43">
            <w:pPr>
              <w:jc w:val="both"/>
              <w:rPr>
                <w:rFonts w:ascii="Verdana" w:hAnsi="Verdana"/>
                <w:b/>
                <w:sz w:val="20"/>
                <w:szCs w:val="20"/>
              </w:rPr>
            </w:pPr>
          </w:p>
          <w:p w14:paraId="08CC10C7" w14:textId="4F208D85" w:rsidR="00CA6A43" w:rsidRDefault="00CA6A43" w:rsidP="00CA6A43">
            <w:pPr>
              <w:jc w:val="both"/>
              <w:rPr>
                <w:rFonts w:ascii="Verdana" w:hAnsi="Verdana"/>
                <w:sz w:val="20"/>
                <w:szCs w:val="20"/>
              </w:rPr>
            </w:pPr>
            <w:r>
              <w:rPr>
                <w:rFonts w:ascii="Verdana" w:hAnsi="Verdana"/>
                <w:sz w:val="20"/>
                <w:szCs w:val="20"/>
              </w:rPr>
              <w:t>MAO totesi, että</w:t>
            </w:r>
            <w:r w:rsidR="008D326F">
              <w:rPr>
                <w:rFonts w:ascii="Verdana" w:hAnsi="Verdana"/>
                <w:sz w:val="20"/>
                <w:szCs w:val="20"/>
              </w:rPr>
              <w:t xml:space="preserve"> m</w:t>
            </w:r>
            <w:r>
              <w:rPr>
                <w:rFonts w:ascii="Verdana" w:hAnsi="Verdana"/>
                <w:sz w:val="20"/>
                <w:szCs w:val="20"/>
              </w:rPr>
              <w:t>arkkinoilla oli ollut</w:t>
            </w:r>
            <w:r w:rsidRPr="00B17171">
              <w:rPr>
                <w:rFonts w:ascii="Verdana" w:hAnsi="Verdana"/>
                <w:sz w:val="20"/>
                <w:szCs w:val="20"/>
              </w:rPr>
              <w:t xml:space="preserve"> useita toimittajia, jotka olisivat olleet kykeneviä toimittamaan led-valaisimia </w:t>
            </w:r>
            <w:r>
              <w:rPr>
                <w:rFonts w:ascii="Verdana" w:hAnsi="Verdana"/>
                <w:sz w:val="20"/>
                <w:szCs w:val="20"/>
              </w:rPr>
              <w:t xml:space="preserve">hankintayksikön </w:t>
            </w:r>
            <w:r w:rsidRPr="00B17171">
              <w:rPr>
                <w:rFonts w:ascii="Verdana" w:hAnsi="Verdana"/>
                <w:sz w:val="20"/>
                <w:szCs w:val="20"/>
              </w:rPr>
              <w:t xml:space="preserve">tarpeisiin. Asiassa ei </w:t>
            </w:r>
            <w:r>
              <w:rPr>
                <w:rFonts w:ascii="Verdana" w:hAnsi="Verdana"/>
                <w:sz w:val="20"/>
                <w:szCs w:val="20"/>
              </w:rPr>
              <w:t xml:space="preserve">ollut siten </w:t>
            </w:r>
            <w:r w:rsidRPr="00B17171">
              <w:rPr>
                <w:rFonts w:ascii="Verdana" w:hAnsi="Verdana"/>
                <w:sz w:val="20"/>
                <w:szCs w:val="20"/>
              </w:rPr>
              <w:t>ilmennyt teknistä syytä, jonka vuoksi kysymyksessä oleva sopimus olisi voitu solmia valaisimien hankinnan osalta ainoastaan Pori Energia Oy:n kanssa.</w:t>
            </w:r>
          </w:p>
          <w:p w14:paraId="17AC5E77" w14:textId="77777777" w:rsidR="00CA6A43" w:rsidRPr="00B17171" w:rsidRDefault="00CA6A43" w:rsidP="00CA6A43">
            <w:pPr>
              <w:jc w:val="both"/>
              <w:rPr>
                <w:rFonts w:ascii="Verdana" w:hAnsi="Verdana"/>
                <w:sz w:val="20"/>
                <w:szCs w:val="20"/>
              </w:rPr>
            </w:pPr>
          </w:p>
          <w:p w14:paraId="65DEFD02" w14:textId="4AB0A93C" w:rsidR="00CA6A43" w:rsidRDefault="00CA6A43" w:rsidP="00CA6A43">
            <w:pPr>
              <w:jc w:val="both"/>
            </w:pPr>
            <w:r>
              <w:rPr>
                <w:rFonts w:ascii="Verdana" w:hAnsi="Verdana"/>
                <w:sz w:val="20"/>
                <w:szCs w:val="20"/>
              </w:rPr>
              <w:t xml:space="preserve">MAO katsoi, että hankintayksikön </w:t>
            </w:r>
            <w:r w:rsidRPr="00B17171">
              <w:rPr>
                <w:rFonts w:ascii="Verdana" w:hAnsi="Verdana"/>
                <w:sz w:val="20"/>
                <w:szCs w:val="20"/>
              </w:rPr>
              <w:t>ja Pori Energia Oy:n välillä 25.1.2011 solmit</w:t>
            </w:r>
            <w:r>
              <w:rPr>
                <w:rFonts w:ascii="Verdana" w:hAnsi="Verdana"/>
                <w:sz w:val="20"/>
                <w:szCs w:val="20"/>
              </w:rPr>
              <w:t>ussa katuvalaistuksen palvelusopimuksessa,</w:t>
            </w:r>
            <w:r w:rsidRPr="00B17171">
              <w:rPr>
                <w:rFonts w:ascii="Verdana" w:hAnsi="Verdana"/>
                <w:sz w:val="20"/>
                <w:szCs w:val="20"/>
              </w:rPr>
              <w:t xml:space="preserve"> ei ole sovittu led-valaisimien hankinnasta, eikä </w:t>
            </w:r>
            <w:r>
              <w:rPr>
                <w:rFonts w:ascii="Verdana" w:hAnsi="Verdana"/>
                <w:sz w:val="20"/>
                <w:szCs w:val="20"/>
              </w:rPr>
              <w:t xml:space="preserve">hankintayksikkö </w:t>
            </w:r>
            <w:r w:rsidRPr="00B17171">
              <w:rPr>
                <w:rFonts w:ascii="Verdana" w:hAnsi="Verdana"/>
                <w:sz w:val="20"/>
                <w:szCs w:val="20"/>
              </w:rPr>
              <w:t>ole tämänkään sopimuksen perusteella voinut tehdä suorahankintaa va</w:t>
            </w:r>
            <w:r>
              <w:rPr>
                <w:rFonts w:ascii="Verdana" w:hAnsi="Verdana"/>
                <w:sz w:val="20"/>
                <w:szCs w:val="20"/>
              </w:rPr>
              <w:t>laisimista Pori Energia Oy:ltä.</w:t>
            </w:r>
          </w:p>
        </w:tc>
      </w:tr>
      <w:tr w:rsidR="009E1F1D" w:rsidRPr="000D632E" w14:paraId="4E69C65A" w14:textId="77777777" w:rsidTr="00647AE9">
        <w:tc>
          <w:tcPr>
            <w:tcW w:w="6997" w:type="dxa"/>
          </w:tcPr>
          <w:p w14:paraId="5DAE82CC" w14:textId="77777777" w:rsidR="009E1F1D" w:rsidRPr="000D0297" w:rsidRDefault="009E1F1D" w:rsidP="000D0297">
            <w:pPr>
              <w:jc w:val="both"/>
              <w:rPr>
                <w:rFonts w:ascii="Verdana" w:hAnsi="Verdana"/>
                <w:sz w:val="20"/>
                <w:szCs w:val="20"/>
              </w:rPr>
            </w:pPr>
          </w:p>
        </w:tc>
        <w:tc>
          <w:tcPr>
            <w:tcW w:w="6997" w:type="dxa"/>
          </w:tcPr>
          <w:p w14:paraId="487DFB5E" w14:textId="20FF4374" w:rsidR="009E1F1D" w:rsidRPr="00E278C2" w:rsidRDefault="00D0769D" w:rsidP="009E1F1D">
            <w:pPr>
              <w:rPr>
                <w:rFonts w:ascii="Verdana" w:hAnsi="Verdana"/>
                <w:color w:val="0563C1" w:themeColor="hyperlink"/>
                <w:sz w:val="20"/>
                <w:u w:val="single"/>
              </w:rPr>
            </w:pPr>
            <w:hyperlink r:id="rId15" w:history="1">
              <w:r w:rsidR="009E1F1D" w:rsidRPr="009E1F1D">
                <w:rPr>
                  <w:rStyle w:val="Hyperlinkki"/>
                  <w:rFonts w:ascii="Verdana" w:hAnsi="Verdana"/>
                  <w:sz w:val="20"/>
                </w:rPr>
                <w:t>MAO:663/16</w:t>
              </w:r>
            </w:hyperlink>
          </w:p>
          <w:p w14:paraId="63FA4D03" w14:textId="569552A5" w:rsidR="008809E6" w:rsidRDefault="008809E6" w:rsidP="009E1F1D">
            <w:pPr>
              <w:rPr>
                <w:rFonts w:ascii="Verdana" w:hAnsi="Verdana"/>
                <w:b/>
                <w:sz w:val="20"/>
              </w:rPr>
            </w:pPr>
            <w:r>
              <w:rPr>
                <w:rFonts w:ascii="Verdana" w:hAnsi="Verdana"/>
                <w:b/>
                <w:sz w:val="20"/>
              </w:rPr>
              <w:t>Taustaa</w:t>
            </w:r>
          </w:p>
          <w:p w14:paraId="39905D8E" w14:textId="77777777" w:rsidR="008809E6" w:rsidRPr="008809E6" w:rsidRDefault="008809E6" w:rsidP="009E1F1D">
            <w:pPr>
              <w:rPr>
                <w:rFonts w:ascii="Verdana" w:hAnsi="Verdana"/>
                <w:b/>
                <w:sz w:val="20"/>
              </w:rPr>
            </w:pPr>
          </w:p>
          <w:p w14:paraId="027B3F28" w14:textId="2CA461F3" w:rsidR="008809E6" w:rsidRDefault="009E1F1D" w:rsidP="009E1F1D">
            <w:pPr>
              <w:rPr>
                <w:rFonts w:ascii="Verdana" w:hAnsi="Verdana"/>
                <w:sz w:val="20"/>
              </w:rPr>
            </w:pPr>
            <w:r w:rsidRPr="009E1F1D">
              <w:rPr>
                <w:rFonts w:ascii="Verdana" w:hAnsi="Verdana"/>
                <w:sz w:val="20"/>
              </w:rPr>
              <w:t>Hankintayksikkö oli tehnyt suorahankinnan</w:t>
            </w:r>
            <w:r w:rsidR="008809E6">
              <w:rPr>
                <w:rFonts w:ascii="Verdana" w:hAnsi="Verdana"/>
                <w:sz w:val="20"/>
              </w:rPr>
              <w:t xml:space="preserve"> rakennusvalvonnan sähköisen lupasovelluksen hankinnasta </w:t>
            </w:r>
            <w:proofErr w:type="spellStart"/>
            <w:r w:rsidR="008809E6">
              <w:rPr>
                <w:rFonts w:ascii="Verdana" w:hAnsi="Verdana"/>
                <w:sz w:val="20"/>
              </w:rPr>
              <w:t>Tekla</w:t>
            </w:r>
            <w:proofErr w:type="spellEnd"/>
            <w:r w:rsidR="008809E6">
              <w:rPr>
                <w:rFonts w:ascii="Verdana" w:hAnsi="Verdana"/>
                <w:sz w:val="20"/>
              </w:rPr>
              <w:t xml:space="preserve"> Oy:ltä</w:t>
            </w:r>
            <w:r w:rsidRPr="009E1F1D">
              <w:rPr>
                <w:rFonts w:ascii="Verdana" w:hAnsi="Verdana"/>
                <w:sz w:val="20"/>
              </w:rPr>
              <w:t xml:space="preserve">, joka liittyi olemassa olevan paikkatietojärjestelmän laajentamiseen. </w:t>
            </w:r>
          </w:p>
          <w:p w14:paraId="1DDE153E" w14:textId="743CB816" w:rsidR="008809E6" w:rsidRDefault="008809E6" w:rsidP="009E1F1D">
            <w:pPr>
              <w:rPr>
                <w:rFonts w:ascii="Verdana" w:hAnsi="Verdana"/>
                <w:sz w:val="20"/>
              </w:rPr>
            </w:pPr>
          </w:p>
          <w:p w14:paraId="67E84E06" w14:textId="77777777" w:rsidR="008809E6" w:rsidRDefault="009E1F1D" w:rsidP="009E1F1D">
            <w:pPr>
              <w:rPr>
                <w:rFonts w:ascii="Verdana" w:hAnsi="Verdana"/>
                <w:sz w:val="20"/>
              </w:rPr>
            </w:pPr>
            <w:r w:rsidRPr="009E1F1D">
              <w:rPr>
                <w:rFonts w:ascii="Verdana" w:hAnsi="Verdana"/>
                <w:sz w:val="20"/>
              </w:rPr>
              <w:t>Hankintapäätöksessä oli mainittu, että valittavana oli ollut vain kaksi sähköisen lupapalvelun toimijaa, joista oli saatu hyvät käyttökokemukset ja myös sitovat hankintahintatarjoukset.</w:t>
            </w:r>
          </w:p>
          <w:p w14:paraId="77DEF04A" w14:textId="77777777" w:rsidR="008809E6" w:rsidRDefault="008809E6" w:rsidP="009E1F1D">
            <w:pPr>
              <w:rPr>
                <w:rFonts w:ascii="Verdana" w:hAnsi="Verdana"/>
                <w:sz w:val="20"/>
              </w:rPr>
            </w:pPr>
          </w:p>
          <w:p w14:paraId="24213013" w14:textId="022C4851" w:rsidR="009E1F1D" w:rsidRPr="009E1F1D" w:rsidRDefault="009E1F1D" w:rsidP="009E1F1D">
            <w:pPr>
              <w:rPr>
                <w:rFonts w:ascii="Verdana" w:hAnsi="Verdana"/>
                <w:sz w:val="20"/>
              </w:rPr>
            </w:pPr>
            <w:r w:rsidRPr="009E1F1D">
              <w:rPr>
                <w:rFonts w:ascii="Verdana" w:hAnsi="Verdana"/>
                <w:sz w:val="20"/>
              </w:rPr>
              <w:t xml:space="preserve">Hankintapäätöksen mukaan näitä kahta järjestelmää oli vertailtu ja vertailussa oli huomioitu järjestelmän hinta, käytettävyys ja </w:t>
            </w:r>
            <w:r w:rsidRPr="009E1F1D">
              <w:rPr>
                <w:rFonts w:ascii="Verdana" w:hAnsi="Verdana"/>
                <w:sz w:val="20"/>
              </w:rPr>
              <w:lastRenderedPageBreak/>
              <w:t>yhteensopivuus hankintayksikön taustajärjestelmän kanssa. Hankintapäätöksen perustelujen mukaan valitun tarjoajan hankintahinta oli ollut alhaisempi ja järjestelmän käytettävyys ja yhteensopivuus luotettavampi taustajärjestelmän kanssa. Hankintayksikkö oli myöhemmin oikaissut tekemäänsä hankintapäätöstä ja lopputulosta muuttamatta laajentanut päätöksen perusteluja mm. viittaamalla suorahankinnan osalta hankintalain lisätilaus-perusteeseen.</w:t>
            </w:r>
          </w:p>
          <w:p w14:paraId="283E0419" w14:textId="620DFEAB" w:rsidR="009E1F1D" w:rsidRDefault="009E1F1D" w:rsidP="009E1F1D">
            <w:pPr>
              <w:rPr>
                <w:rFonts w:ascii="Verdana" w:hAnsi="Verdana"/>
                <w:sz w:val="20"/>
              </w:rPr>
            </w:pPr>
          </w:p>
          <w:p w14:paraId="4DEFDC0F" w14:textId="0777CD4C" w:rsidR="008809E6" w:rsidRDefault="008809E6" w:rsidP="009E1F1D">
            <w:pPr>
              <w:rPr>
                <w:rFonts w:ascii="Verdana" w:hAnsi="Verdana"/>
                <w:b/>
                <w:sz w:val="20"/>
              </w:rPr>
            </w:pPr>
            <w:proofErr w:type="spellStart"/>
            <w:r>
              <w:rPr>
                <w:rFonts w:ascii="Verdana" w:hAnsi="Verdana"/>
                <w:b/>
                <w:sz w:val="20"/>
              </w:rPr>
              <w:t>MAO:n</w:t>
            </w:r>
            <w:proofErr w:type="spellEnd"/>
            <w:r>
              <w:rPr>
                <w:rFonts w:ascii="Verdana" w:hAnsi="Verdana"/>
                <w:b/>
                <w:sz w:val="20"/>
              </w:rPr>
              <w:t xml:space="preserve"> ratkaisu</w:t>
            </w:r>
          </w:p>
          <w:p w14:paraId="1A0B8227" w14:textId="77777777" w:rsidR="008809E6" w:rsidRPr="008809E6" w:rsidRDefault="008809E6" w:rsidP="009E1F1D">
            <w:pPr>
              <w:rPr>
                <w:rFonts w:ascii="Verdana" w:hAnsi="Verdana"/>
                <w:b/>
                <w:sz w:val="20"/>
              </w:rPr>
            </w:pPr>
          </w:p>
          <w:p w14:paraId="141DD861" w14:textId="77777777" w:rsidR="008809E6" w:rsidRDefault="008809E6" w:rsidP="009E1F1D">
            <w:pPr>
              <w:rPr>
                <w:rFonts w:ascii="Verdana" w:hAnsi="Verdana"/>
                <w:sz w:val="20"/>
              </w:rPr>
            </w:pPr>
            <w:r>
              <w:rPr>
                <w:rFonts w:ascii="Verdana" w:hAnsi="Verdana"/>
                <w:sz w:val="20"/>
              </w:rPr>
              <w:t xml:space="preserve">MAO </w:t>
            </w:r>
            <w:r w:rsidR="009E1F1D" w:rsidRPr="009E1F1D">
              <w:rPr>
                <w:rFonts w:ascii="Verdana" w:hAnsi="Verdana"/>
                <w:sz w:val="20"/>
              </w:rPr>
              <w:t xml:space="preserve">totesi, että hankintayksikön suorittama järjestelmien vertailu osoitti, että järjestelmälle oli ollut ainakin kaksi mahdollista toimittajaa. </w:t>
            </w:r>
          </w:p>
          <w:p w14:paraId="114F79CC" w14:textId="77777777" w:rsidR="008809E6" w:rsidRDefault="008809E6" w:rsidP="009E1F1D">
            <w:pPr>
              <w:rPr>
                <w:rFonts w:ascii="Verdana" w:hAnsi="Verdana"/>
                <w:sz w:val="20"/>
              </w:rPr>
            </w:pPr>
          </w:p>
          <w:p w14:paraId="0ADCA9C6" w14:textId="6D32B1D7" w:rsidR="009E1F1D" w:rsidRPr="008809E6" w:rsidRDefault="009E1F1D" w:rsidP="008809E6">
            <w:pPr>
              <w:rPr>
                <w:rFonts w:ascii="Verdana" w:hAnsi="Verdana"/>
                <w:sz w:val="20"/>
              </w:rPr>
            </w:pPr>
            <w:r w:rsidRPr="009E1F1D">
              <w:rPr>
                <w:rFonts w:ascii="Verdana" w:hAnsi="Verdana"/>
                <w:sz w:val="20"/>
              </w:rPr>
              <w:t>Hankintayksikkö ei ollut edes väittänyt, että muun kuin valitun tarjoajan järjestelmän valitseminen johtaisi yhteensopimattomuuteen. Asiassa ei myöskään ilmennyt, että toimituksen laajentamisen yhteydessä tapahtuva toimittajan vaihtaminen johtaisi suhteettoman suuriin teknisiin vaikeuksiin.</w:t>
            </w:r>
            <w:r w:rsidRPr="009E1F1D">
              <w:rPr>
                <w:rFonts w:ascii="Verdana" w:hAnsi="Verdana"/>
                <w:color w:val="373541"/>
                <w:sz w:val="24"/>
                <w:szCs w:val="26"/>
                <w:shd w:val="clear" w:color="auto" w:fill="FFFFFF"/>
              </w:rPr>
              <w:t xml:space="preserve"> </w:t>
            </w:r>
            <w:r w:rsidR="006F35D7">
              <w:rPr>
                <w:rFonts w:ascii="Verdana" w:hAnsi="Verdana"/>
                <w:sz w:val="20"/>
              </w:rPr>
              <w:t>MAO</w:t>
            </w:r>
            <w:r w:rsidRPr="009E1F1D">
              <w:rPr>
                <w:rFonts w:ascii="Verdana" w:hAnsi="Verdana"/>
                <w:sz w:val="20"/>
              </w:rPr>
              <w:t xml:space="preserve"> katsoi, että suorahankinnalle ei ollut esitetty hankintalain mukaisia perusteita.</w:t>
            </w:r>
          </w:p>
        </w:tc>
      </w:tr>
      <w:tr w:rsidR="00B86523" w:rsidRPr="000D632E" w14:paraId="2AC1F0EA" w14:textId="77777777" w:rsidTr="00647AE9">
        <w:tc>
          <w:tcPr>
            <w:tcW w:w="6997" w:type="dxa"/>
          </w:tcPr>
          <w:p w14:paraId="1D62D68C" w14:textId="77777777" w:rsidR="00B86523" w:rsidRPr="000D0297" w:rsidRDefault="00B86523" w:rsidP="000D0297">
            <w:pPr>
              <w:jc w:val="both"/>
              <w:rPr>
                <w:rFonts w:ascii="Verdana" w:hAnsi="Verdana"/>
                <w:sz w:val="20"/>
                <w:szCs w:val="20"/>
              </w:rPr>
            </w:pPr>
          </w:p>
        </w:tc>
        <w:tc>
          <w:tcPr>
            <w:tcW w:w="6997" w:type="dxa"/>
          </w:tcPr>
          <w:p w14:paraId="4B077FBE" w14:textId="77777777" w:rsidR="00B86523" w:rsidRDefault="00D0769D" w:rsidP="00B86523">
            <w:pPr>
              <w:jc w:val="both"/>
              <w:rPr>
                <w:rFonts w:ascii="Verdana" w:hAnsi="Verdana"/>
                <w:sz w:val="20"/>
                <w:szCs w:val="20"/>
              </w:rPr>
            </w:pPr>
            <w:hyperlink r:id="rId16" w:history="1">
              <w:r w:rsidR="00B86523" w:rsidRPr="000D0297">
                <w:rPr>
                  <w:rStyle w:val="Hyperlinkki"/>
                  <w:rFonts w:ascii="Verdana" w:hAnsi="Verdana"/>
                  <w:sz w:val="20"/>
                  <w:szCs w:val="20"/>
                </w:rPr>
                <w:t>MAO:629/16</w:t>
              </w:r>
            </w:hyperlink>
          </w:p>
          <w:p w14:paraId="79BC76FC" w14:textId="77777777" w:rsidR="00B86523" w:rsidRDefault="00B86523" w:rsidP="00B86523">
            <w:pPr>
              <w:jc w:val="both"/>
              <w:rPr>
                <w:rFonts w:ascii="Verdana" w:hAnsi="Verdana"/>
                <w:sz w:val="20"/>
                <w:szCs w:val="20"/>
              </w:rPr>
            </w:pPr>
          </w:p>
          <w:p w14:paraId="44D474D4" w14:textId="424773C1" w:rsidR="00B86523" w:rsidRPr="00F072E8" w:rsidRDefault="00B86523" w:rsidP="00B86523">
            <w:pPr>
              <w:jc w:val="both"/>
              <w:rPr>
                <w:rFonts w:ascii="Verdana" w:hAnsi="Verdana"/>
                <w:b/>
                <w:sz w:val="20"/>
                <w:szCs w:val="20"/>
              </w:rPr>
            </w:pPr>
            <w:r>
              <w:rPr>
                <w:rFonts w:ascii="Verdana" w:hAnsi="Verdana"/>
                <w:b/>
                <w:sz w:val="20"/>
                <w:szCs w:val="20"/>
              </w:rPr>
              <w:t>Taustaa</w:t>
            </w:r>
          </w:p>
          <w:p w14:paraId="2592C3D5" w14:textId="4FF92667" w:rsidR="00B86523" w:rsidRDefault="00B86523" w:rsidP="00B86523">
            <w:pPr>
              <w:jc w:val="both"/>
              <w:rPr>
                <w:rFonts w:ascii="Verdana" w:hAnsi="Verdana"/>
                <w:sz w:val="20"/>
                <w:szCs w:val="20"/>
              </w:rPr>
            </w:pPr>
            <w:r>
              <w:rPr>
                <w:rFonts w:ascii="Verdana" w:hAnsi="Verdana"/>
                <w:sz w:val="20"/>
                <w:szCs w:val="20"/>
              </w:rPr>
              <w:t>Hankintayksikkö oli</w:t>
            </w:r>
            <w:r w:rsidRPr="000D0297">
              <w:rPr>
                <w:rFonts w:ascii="Verdana" w:hAnsi="Verdana"/>
                <w:sz w:val="20"/>
                <w:szCs w:val="20"/>
              </w:rPr>
              <w:t xml:space="preserve"> 18.6.2014 tekemällään hankintapäätöksellä valinnut Ajotaito Oy Autokoulun ja toiseksi eniten pisteitä saaneen TTS Kehitys Oy:n tarjoukset</w:t>
            </w:r>
            <w:r>
              <w:rPr>
                <w:rFonts w:ascii="Verdana" w:hAnsi="Verdana"/>
                <w:sz w:val="20"/>
                <w:szCs w:val="20"/>
              </w:rPr>
              <w:t xml:space="preserve"> siten, että koulutukseen hanki</w:t>
            </w:r>
            <w:r w:rsidRPr="000D0297">
              <w:rPr>
                <w:rFonts w:ascii="Verdana" w:hAnsi="Verdana"/>
                <w:sz w:val="20"/>
                <w:szCs w:val="20"/>
              </w:rPr>
              <w:t>taan kummaltakin 2.700 opiskelijatyöpäivää</w:t>
            </w:r>
            <w:r w:rsidR="004A3BAB">
              <w:rPr>
                <w:rFonts w:ascii="Verdana" w:hAnsi="Verdana"/>
                <w:sz w:val="20"/>
                <w:szCs w:val="20"/>
              </w:rPr>
              <w:t>. Hankintayksikkö oli</w:t>
            </w:r>
            <w:r w:rsidRPr="000D0297">
              <w:rPr>
                <w:rFonts w:ascii="Verdana" w:hAnsi="Verdana"/>
                <w:sz w:val="20"/>
                <w:szCs w:val="20"/>
              </w:rPr>
              <w:t xml:space="preserve"> hankintapäätöksessä varannut mahdollisuuden enintään kahteen optiototeutukseen vuosille 2015−2016 alkuperäisen hankinnan hinnalla ja suuruisena.</w:t>
            </w:r>
          </w:p>
          <w:p w14:paraId="0A6F7B8E" w14:textId="77777777" w:rsidR="00B86523" w:rsidRPr="000D0297" w:rsidRDefault="00B86523" w:rsidP="00B86523">
            <w:pPr>
              <w:jc w:val="both"/>
              <w:rPr>
                <w:rFonts w:ascii="Verdana" w:hAnsi="Verdana"/>
                <w:sz w:val="20"/>
                <w:szCs w:val="20"/>
              </w:rPr>
            </w:pPr>
          </w:p>
          <w:p w14:paraId="71E39A66" w14:textId="14E14427" w:rsidR="00B86523" w:rsidRDefault="004A3BAB" w:rsidP="00B86523">
            <w:pPr>
              <w:jc w:val="both"/>
              <w:rPr>
                <w:rFonts w:ascii="Verdana" w:hAnsi="Verdana"/>
                <w:sz w:val="20"/>
                <w:szCs w:val="20"/>
              </w:rPr>
            </w:pPr>
            <w:r>
              <w:rPr>
                <w:rFonts w:ascii="Verdana" w:hAnsi="Verdana"/>
                <w:sz w:val="20"/>
                <w:szCs w:val="20"/>
              </w:rPr>
              <w:lastRenderedPageBreak/>
              <w:t>Hankintayksikkö oli</w:t>
            </w:r>
            <w:r w:rsidR="00B86523" w:rsidRPr="000D0297">
              <w:rPr>
                <w:rFonts w:ascii="Verdana" w:hAnsi="Verdana"/>
                <w:sz w:val="20"/>
                <w:szCs w:val="20"/>
              </w:rPr>
              <w:t xml:space="preserve"> tehnyt valittujen tarjoajien kanssa hankintasopimukset, joissa </w:t>
            </w:r>
            <w:r>
              <w:rPr>
                <w:rFonts w:ascii="Verdana" w:hAnsi="Verdana"/>
                <w:sz w:val="20"/>
                <w:szCs w:val="20"/>
              </w:rPr>
              <w:t>oli</w:t>
            </w:r>
            <w:r w:rsidR="00B86523" w:rsidRPr="000D0297">
              <w:rPr>
                <w:rFonts w:ascii="Verdana" w:hAnsi="Verdana"/>
                <w:sz w:val="20"/>
                <w:szCs w:val="20"/>
              </w:rPr>
              <w:t xml:space="preserve"> ollut maininta hankintayksikön varaamasta optiomahdollisuudesta.</w:t>
            </w:r>
          </w:p>
          <w:p w14:paraId="43A73483" w14:textId="77777777" w:rsidR="00B86523" w:rsidRPr="000D0297" w:rsidRDefault="00B86523" w:rsidP="00B86523">
            <w:pPr>
              <w:jc w:val="both"/>
              <w:rPr>
                <w:rFonts w:ascii="Verdana" w:hAnsi="Verdana"/>
                <w:sz w:val="20"/>
                <w:szCs w:val="20"/>
              </w:rPr>
            </w:pPr>
          </w:p>
          <w:p w14:paraId="26617368" w14:textId="5088B872" w:rsidR="00B86523" w:rsidRDefault="00B86523" w:rsidP="00B86523">
            <w:pPr>
              <w:jc w:val="both"/>
              <w:rPr>
                <w:rFonts w:ascii="Verdana" w:hAnsi="Verdana"/>
                <w:sz w:val="20"/>
                <w:szCs w:val="20"/>
              </w:rPr>
            </w:pPr>
            <w:r w:rsidRPr="000D0297">
              <w:rPr>
                <w:rFonts w:ascii="Verdana" w:hAnsi="Verdana"/>
                <w:sz w:val="20"/>
                <w:szCs w:val="20"/>
              </w:rPr>
              <w:t>Hankint</w:t>
            </w:r>
            <w:r w:rsidR="004A3BAB">
              <w:rPr>
                <w:rFonts w:ascii="Verdana" w:hAnsi="Verdana"/>
                <w:sz w:val="20"/>
                <w:szCs w:val="20"/>
              </w:rPr>
              <w:t>ayksikkö oli</w:t>
            </w:r>
            <w:r>
              <w:rPr>
                <w:rFonts w:ascii="Verdana" w:hAnsi="Verdana"/>
                <w:sz w:val="20"/>
                <w:szCs w:val="20"/>
              </w:rPr>
              <w:t xml:space="preserve"> </w:t>
            </w:r>
            <w:r w:rsidRPr="000D0297">
              <w:rPr>
                <w:rFonts w:ascii="Verdana" w:hAnsi="Verdana"/>
                <w:sz w:val="20"/>
                <w:szCs w:val="20"/>
              </w:rPr>
              <w:t>vahvistanut option käyttämisen yhdeltä vuodelta TTS Kehitys Oy:n kanssa</w:t>
            </w:r>
            <w:r w:rsidR="004A3BAB">
              <w:rPr>
                <w:rFonts w:ascii="Verdana" w:hAnsi="Verdana"/>
                <w:sz w:val="20"/>
                <w:szCs w:val="20"/>
              </w:rPr>
              <w:t xml:space="preserve">, mutta </w:t>
            </w:r>
            <w:r w:rsidRPr="000D0297">
              <w:rPr>
                <w:rFonts w:ascii="Verdana" w:hAnsi="Verdana"/>
                <w:sz w:val="20"/>
                <w:szCs w:val="20"/>
              </w:rPr>
              <w:t>jättänyt käyttämättä option Ajotaito Oy Autokoulun osalta.</w:t>
            </w:r>
          </w:p>
          <w:p w14:paraId="03952B89" w14:textId="77777777" w:rsidR="00B86523" w:rsidRDefault="00B86523" w:rsidP="00B86523">
            <w:pPr>
              <w:jc w:val="both"/>
              <w:rPr>
                <w:rFonts w:ascii="Verdana" w:hAnsi="Verdana"/>
                <w:sz w:val="20"/>
                <w:szCs w:val="20"/>
              </w:rPr>
            </w:pPr>
          </w:p>
          <w:p w14:paraId="6BF4D70B" w14:textId="6A11BB4C" w:rsidR="00B86523" w:rsidRDefault="00B86523" w:rsidP="00B86523">
            <w:pPr>
              <w:jc w:val="both"/>
              <w:rPr>
                <w:rFonts w:ascii="Verdana" w:hAnsi="Verdana"/>
                <w:sz w:val="20"/>
                <w:szCs w:val="20"/>
              </w:rPr>
            </w:pPr>
            <w:r w:rsidRPr="000D0297">
              <w:rPr>
                <w:rFonts w:ascii="Verdana" w:hAnsi="Verdana"/>
                <w:sz w:val="20"/>
                <w:szCs w:val="20"/>
              </w:rPr>
              <w:t>Valittaj</w:t>
            </w:r>
            <w:r w:rsidR="004A3BAB">
              <w:rPr>
                <w:rFonts w:ascii="Verdana" w:hAnsi="Verdana"/>
                <w:sz w:val="20"/>
                <w:szCs w:val="20"/>
              </w:rPr>
              <w:t>an mukaan hankintayksikkö ei ollut</w:t>
            </w:r>
            <w:r w:rsidRPr="000D0297">
              <w:rPr>
                <w:rFonts w:ascii="Verdana" w:hAnsi="Verdana"/>
                <w:sz w:val="20"/>
                <w:szCs w:val="20"/>
              </w:rPr>
              <w:t xml:space="preserve"> menetellyt tarjoajia kohtaan tasapuolisesti ja syrjim</w:t>
            </w:r>
            <w:r w:rsidR="004A3BAB">
              <w:rPr>
                <w:rFonts w:ascii="Verdana" w:hAnsi="Verdana"/>
                <w:sz w:val="20"/>
                <w:szCs w:val="20"/>
              </w:rPr>
              <w:t>ättä, kun se oli</w:t>
            </w:r>
            <w:r w:rsidRPr="000D0297">
              <w:rPr>
                <w:rFonts w:ascii="Verdana" w:hAnsi="Verdana"/>
                <w:sz w:val="20"/>
                <w:szCs w:val="20"/>
              </w:rPr>
              <w:t xml:space="preserve"> jättänyt käyttämättä optiomahdollisuuden varsinaisessa kilpailutuksessa eniten pisteitä saaneen valittajan osalta, mutta kuitenkin tehnyt päätöksen option käyttämisestä varsinaisessa kilpailutuksessa toiseksi eniten pisteitä saaneen TTS Kehitys Oy:n osalta.</w:t>
            </w:r>
          </w:p>
          <w:p w14:paraId="12AEE03C" w14:textId="77777777" w:rsidR="008C7448" w:rsidRDefault="008C7448" w:rsidP="00B86523">
            <w:pPr>
              <w:jc w:val="both"/>
              <w:rPr>
                <w:rFonts w:ascii="Verdana" w:hAnsi="Verdana"/>
                <w:sz w:val="20"/>
                <w:szCs w:val="20"/>
              </w:rPr>
            </w:pPr>
          </w:p>
          <w:p w14:paraId="3C1A38D5" w14:textId="232C77B5" w:rsidR="00B86523" w:rsidRPr="00B86523" w:rsidRDefault="00B86523" w:rsidP="00B86523">
            <w:pPr>
              <w:jc w:val="both"/>
              <w:rPr>
                <w:rFonts w:ascii="Verdana" w:hAnsi="Verdana"/>
                <w:b/>
                <w:sz w:val="20"/>
                <w:szCs w:val="20"/>
              </w:rPr>
            </w:pPr>
            <w:proofErr w:type="spellStart"/>
            <w:r w:rsidRPr="00B86523">
              <w:rPr>
                <w:rFonts w:ascii="Verdana" w:hAnsi="Verdana"/>
                <w:b/>
                <w:sz w:val="20"/>
                <w:szCs w:val="20"/>
              </w:rPr>
              <w:t>MAO:n</w:t>
            </w:r>
            <w:proofErr w:type="spellEnd"/>
            <w:r w:rsidRPr="00B86523">
              <w:rPr>
                <w:rFonts w:ascii="Verdana" w:hAnsi="Verdana"/>
                <w:b/>
                <w:sz w:val="20"/>
                <w:szCs w:val="20"/>
              </w:rPr>
              <w:t xml:space="preserve"> ratkaisu</w:t>
            </w:r>
          </w:p>
          <w:p w14:paraId="7BF92168" w14:textId="77777777" w:rsidR="00B86523" w:rsidRPr="000D0297" w:rsidRDefault="00B86523" w:rsidP="00B86523">
            <w:pPr>
              <w:jc w:val="both"/>
              <w:rPr>
                <w:rFonts w:ascii="Verdana" w:hAnsi="Verdana"/>
                <w:sz w:val="20"/>
                <w:szCs w:val="20"/>
              </w:rPr>
            </w:pPr>
          </w:p>
          <w:p w14:paraId="2AEAA4EA" w14:textId="0BCE10EF" w:rsidR="00B86523" w:rsidRDefault="00B86523" w:rsidP="00B86523">
            <w:pPr>
              <w:jc w:val="both"/>
              <w:rPr>
                <w:rFonts w:ascii="Verdana" w:hAnsi="Verdana"/>
                <w:sz w:val="20"/>
                <w:szCs w:val="20"/>
              </w:rPr>
            </w:pPr>
            <w:r>
              <w:rPr>
                <w:rFonts w:ascii="Verdana" w:hAnsi="Verdana"/>
                <w:sz w:val="20"/>
                <w:szCs w:val="20"/>
              </w:rPr>
              <w:t>MAO totesi</w:t>
            </w:r>
            <w:r w:rsidRPr="000D0297">
              <w:rPr>
                <w:rFonts w:ascii="Verdana" w:hAnsi="Verdana"/>
                <w:sz w:val="20"/>
                <w:szCs w:val="20"/>
              </w:rPr>
              <w:t>, että option käyttä</w:t>
            </w:r>
            <w:r w:rsidR="004A3BAB">
              <w:rPr>
                <w:rFonts w:ascii="Verdana" w:hAnsi="Verdana"/>
                <w:sz w:val="20"/>
                <w:szCs w:val="20"/>
              </w:rPr>
              <w:t>minen TTS Kehitys Oy:n osalta oli</w:t>
            </w:r>
            <w:r w:rsidRPr="000D0297">
              <w:rPr>
                <w:rFonts w:ascii="Verdana" w:hAnsi="Verdana"/>
                <w:sz w:val="20"/>
                <w:szCs w:val="20"/>
              </w:rPr>
              <w:t xml:space="preserve"> perustunut alkuperäiseen hankintailmoitukseen.</w:t>
            </w:r>
            <w:r w:rsidR="004A3BAB">
              <w:rPr>
                <w:rFonts w:ascii="Verdana" w:hAnsi="Verdana"/>
                <w:sz w:val="20"/>
                <w:szCs w:val="20"/>
              </w:rPr>
              <w:t xml:space="preserve"> Hankinnan kohde oli</w:t>
            </w:r>
            <w:r w:rsidRPr="000D0297">
              <w:rPr>
                <w:rFonts w:ascii="Verdana" w:hAnsi="Verdana"/>
                <w:sz w:val="20"/>
                <w:szCs w:val="20"/>
              </w:rPr>
              <w:t xml:space="preserve"> ollut sama kuin alkuperäisessä h</w:t>
            </w:r>
            <w:r w:rsidR="004A3BAB">
              <w:rPr>
                <w:rFonts w:ascii="Verdana" w:hAnsi="Verdana"/>
                <w:sz w:val="20"/>
                <w:szCs w:val="20"/>
              </w:rPr>
              <w:t xml:space="preserve">ankintailmoituksessa. </w:t>
            </w:r>
          </w:p>
          <w:p w14:paraId="06C57410" w14:textId="77777777" w:rsidR="00B86523" w:rsidRPr="000D0297" w:rsidRDefault="00B86523" w:rsidP="00B86523">
            <w:pPr>
              <w:jc w:val="both"/>
              <w:rPr>
                <w:rFonts w:ascii="Verdana" w:hAnsi="Verdana"/>
                <w:sz w:val="20"/>
                <w:szCs w:val="20"/>
              </w:rPr>
            </w:pPr>
          </w:p>
          <w:p w14:paraId="4ED6C9FF" w14:textId="5BE42BFF" w:rsidR="00B86523" w:rsidRDefault="00B86523" w:rsidP="00B86523">
            <w:pPr>
              <w:jc w:val="both"/>
              <w:rPr>
                <w:rFonts w:ascii="Verdana" w:hAnsi="Verdana"/>
                <w:sz w:val="20"/>
                <w:szCs w:val="20"/>
              </w:rPr>
            </w:pPr>
            <w:r w:rsidRPr="000D0297">
              <w:rPr>
                <w:rFonts w:ascii="Verdana" w:hAnsi="Verdana"/>
                <w:sz w:val="20"/>
                <w:szCs w:val="20"/>
              </w:rPr>
              <w:t>Optiomahdollisuutta</w:t>
            </w:r>
            <w:r w:rsidR="00D12725">
              <w:rPr>
                <w:rFonts w:ascii="Verdana" w:hAnsi="Verdana"/>
                <w:sz w:val="20"/>
                <w:szCs w:val="20"/>
              </w:rPr>
              <w:t xml:space="preserve"> käyttäessään hankintayksikön on </w:t>
            </w:r>
            <w:r w:rsidRPr="000D0297">
              <w:rPr>
                <w:rFonts w:ascii="Verdana" w:hAnsi="Verdana"/>
                <w:sz w:val="20"/>
                <w:szCs w:val="20"/>
              </w:rPr>
              <w:t>noudatettava hankintalain 2 §:n vaatimuksia tarjoajien tasapuolisesta ja syrjimättömästä kohtelusta.</w:t>
            </w:r>
          </w:p>
          <w:p w14:paraId="26A02D31" w14:textId="77777777" w:rsidR="00D12725" w:rsidRPr="000D0297" w:rsidRDefault="00D12725" w:rsidP="00B86523">
            <w:pPr>
              <w:jc w:val="both"/>
              <w:rPr>
                <w:rFonts w:ascii="Verdana" w:hAnsi="Verdana"/>
                <w:sz w:val="20"/>
                <w:szCs w:val="20"/>
              </w:rPr>
            </w:pPr>
          </w:p>
          <w:p w14:paraId="2A3A7C5D" w14:textId="37966FA2" w:rsidR="00B86523" w:rsidRDefault="00B86523" w:rsidP="00B86523">
            <w:pPr>
              <w:jc w:val="both"/>
              <w:rPr>
                <w:rFonts w:ascii="Verdana" w:hAnsi="Verdana"/>
                <w:sz w:val="20"/>
                <w:szCs w:val="20"/>
              </w:rPr>
            </w:pPr>
            <w:r w:rsidRPr="000D0297">
              <w:rPr>
                <w:rFonts w:ascii="Verdana" w:hAnsi="Verdana"/>
                <w:sz w:val="20"/>
                <w:szCs w:val="20"/>
              </w:rPr>
              <w:t>Hank</w:t>
            </w:r>
            <w:r>
              <w:rPr>
                <w:rFonts w:ascii="Verdana" w:hAnsi="Verdana"/>
                <w:sz w:val="20"/>
                <w:szCs w:val="20"/>
              </w:rPr>
              <w:t>intayksikkö oli</w:t>
            </w:r>
            <w:r w:rsidRPr="000D0297">
              <w:rPr>
                <w:rFonts w:ascii="Verdana" w:hAnsi="Verdana"/>
                <w:sz w:val="20"/>
                <w:szCs w:val="20"/>
              </w:rPr>
              <w:t xml:space="preserve"> optiopäätöksen osalta ilmoittanut muun ohella huomioineensa </w:t>
            </w:r>
            <w:r w:rsidRPr="00B86523">
              <w:rPr>
                <w:rFonts w:ascii="Verdana" w:hAnsi="Verdana"/>
                <w:b/>
                <w:sz w:val="20"/>
                <w:szCs w:val="20"/>
              </w:rPr>
              <w:t>varsinaista hankintakautta koskevan asiakaspalautteen</w:t>
            </w:r>
            <w:r w:rsidRPr="000D0297">
              <w:rPr>
                <w:rFonts w:ascii="Verdana" w:hAnsi="Verdana"/>
                <w:sz w:val="20"/>
                <w:szCs w:val="20"/>
              </w:rPr>
              <w:t xml:space="preserve"> valittajaa ja TTS Kehitys Oy:tä koskien.</w:t>
            </w:r>
          </w:p>
          <w:p w14:paraId="21457916" w14:textId="77777777" w:rsidR="00D12725" w:rsidRDefault="00D12725" w:rsidP="00B86523">
            <w:pPr>
              <w:jc w:val="both"/>
              <w:rPr>
                <w:rFonts w:ascii="Verdana" w:hAnsi="Verdana"/>
                <w:sz w:val="20"/>
                <w:szCs w:val="20"/>
              </w:rPr>
            </w:pPr>
          </w:p>
          <w:p w14:paraId="2446F735" w14:textId="77777777" w:rsidR="00B86523" w:rsidRDefault="00B86523" w:rsidP="00B86523">
            <w:pPr>
              <w:jc w:val="both"/>
              <w:rPr>
                <w:rFonts w:ascii="Verdana" w:hAnsi="Verdana"/>
                <w:sz w:val="20"/>
                <w:szCs w:val="20"/>
              </w:rPr>
            </w:pPr>
            <w:r w:rsidRPr="000D0297">
              <w:rPr>
                <w:rFonts w:ascii="Verdana" w:hAnsi="Verdana"/>
                <w:sz w:val="20"/>
                <w:szCs w:val="20"/>
              </w:rPr>
              <w:t>Varsinaista hankintaa koskevista asiakirjoista ei</w:t>
            </w:r>
            <w:r>
              <w:rPr>
                <w:rFonts w:ascii="Verdana" w:hAnsi="Verdana"/>
                <w:sz w:val="20"/>
                <w:szCs w:val="20"/>
              </w:rPr>
              <w:t xml:space="preserve"> kuitenkaan</w:t>
            </w:r>
            <w:r w:rsidRPr="000D0297">
              <w:rPr>
                <w:rFonts w:ascii="Verdana" w:hAnsi="Verdana"/>
                <w:sz w:val="20"/>
                <w:szCs w:val="20"/>
              </w:rPr>
              <w:t xml:space="preserve"> </w:t>
            </w:r>
            <w:r>
              <w:rPr>
                <w:rFonts w:ascii="Verdana" w:hAnsi="Verdana"/>
                <w:sz w:val="20"/>
                <w:szCs w:val="20"/>
              </w:rPr>
              <w:t>ilmennyt</w:t>
            </w:r>
            <w:r w:rsidRPr="000D0297">
              <w:rPr>
                <w:rFonts w:ascii="Verdana" w:hAnsi="Verdana"/>
                <w:sz w:val="20"/>
                <w:szCs w:val="20"/>
              </w:rPr>
              <w:t xml:space="preserve">, että tälle varsinaisen hankintapäätöksen </w:t>
            </w:r>
            <w:r w:rsidRPr="00B86523">
              <w:rPr>
                <w:rFonts w:ascii="Verdana" w:hAnsi="Verdana"/>
                <w:b/>
                <w:sz w:val="20"/>
                <w:szCs w:val="20"/>
              </w:rPr>
              <w:t>jälkeiselle seikalle voitaisiin antaa merkitystä option käyttämisen osalta</w:t>
            </w:r>
            <w:r w:rsidRPr="000D0297">
              <w:rPr>
                <w:rFonts w:ascii="Verdana" w:hAnsi="Verdana"/>
                <w:sz w:val="20"/>
                <w:szCs w:val="20"/>
              </w:rPr>
              <w:t xml:space="preserve">. </w:t>
            </w:r>
          </w:p>
          <w:p w14:paraId="3C4F0B5E" w14:textId="77777777" w:rsidR="00B86523" w:rsidRDefault="00B86523" w:rsidP="00B86523">
            <w:pPr>
              <w:jc w:val="both"/>
              <w:rPr>
                <w:rFonts w:ascii="Verdana" w:hAnsi="Verdana"/>
                <w:sz w:val="20"/>
                <w:szCs w:val="20"/>
              </w:rPr>
            </w:pPr>
          </w:p>
          <w:p w14:paraId="73CD6C55" w14:textId="7E45B9D9" w:rsidR="00B86523" w:rsidRPr="00B86523" w:rsidRDefault="00B86523" w:rsidP="00B86523">
            <w:pPr>
              <w:jc w:val="both"/>
              <w:rPr>
                <w:rFonts w:ascii="Verdana" w:hAnsi="Verdana"/>
                <w:sz w:val="20"/>
                <w:szCs w:val="20"/>
              </w:rPr>
            </w:pPr>
            <w:r>
              <w:rPr>
                <w:rFonts w:ascii="Verdana" w:hAnsi="Verdana"/>
                <w:sz w:val="20"/>
                <w:szCs w:val="20"/>
              </w:rPr>
              <w:lastRenderedPageBreak/>
              <w:t>MAO totesi, että h</w:t>
            </w:r>
            <w:r w:rsidRPr="000D0297">
              <w:rPr>
                <w:rFonts w:ascii="Verdana" w:hAnsi="Verdana"/>
                <w:sz w:val="20"/>
                <w:szCs w:val="20"/>
              </w:rPr>
              <w:t xml:space="preserve">ankintayksikön ei olisi siten tullut perustaa ratkaisuaan tähän seikkaan. Kun lisäksi </w:t>
            </w:r>
            <w:r>
              <w:rPr>
                <w:rFonts w:ascii="Verdana" w:hAnsi="Verdana"/>
                <w:sz w:val="20"/>
                <w:szCs w:val="20"/>
              </w:rPr>
              <w:t xml:space="preserve">otettiin </w:t>
            </w:r>
            <w:r w:rsidRPr="000D0297">
              <w:rPr>
                <w:rFonts w:ascii="Verdana" w:hAnsi="Verdana"/>
                <w:sz w:val="20"/>
                <w:szCs w:val="20"/>
              </w:rPr>
              <w:t xml:space="preserve">huomioon valittajan tarjouksen tulleen arvioiduksi varsinaisessa kilpailutuksessa kokonaistaloudellisesti edullisimmaksi, </w:t>
            </w:r>
            <w:r>
              <w:rPr>
                <w:rFonts w:ascii="Verdana" w:hAnsi="Verdana"/>
                <w:sz w:val="20"/>
                <w:szCs w:val="20"/>
              </w:rPr>
              <w:t>MAO katsoi, että hankintayksikkö ei ollut</w:t>
            </w:r>
            <w:r w:rsidRPr="000D0297">
              <w:rPr>
                <w:rFonts w:ascii="Verdana" w:hAnsi="Verdana"/>
                <w:sz w:val="20"/>
                <w:szCs w:val="20"/>
              </w:rPr>
              <w:t xml:space="preserve"> menetellyt option osalta tarjoajia kohtaan tasapuolisesti ja syrjimättömästi.</w:t>
            </w:r>
          </w:p>
        </w:tc>
      </w:tr>
      <w:tr w:rsidR="00CA6A43" w:rsidRPr="000D632E" w14:paraId="4E5FD062" w14:textId="77777777" w:rsidTr="00647AE9">
        <w:tc>
          <w:tcPr>
            <w:tcW w:w="6997" w:type="dxa"/>
          </w:tcPr>
          <w:p w14:paraId="3B7ABCDA" w14:textId="77777777" w:rsidR="00CA6A43" w:rsidRPr="000D0297" w:rsidRDefault="00CA6A43" w:rsidP="000D0297">
            <w:pPr>
              <w:jc w:val="both"/>
              <w:rPr>
                <w:rFonts w:ascii="Verdana" w:hAnsi="Verdana"/>
                <w:sz w:val="20"/>
                <w:szCs w:val="20"/>
              </w:rPr>
            </w:pPr>
          </w:p>
        </w:tc>
        <w:tc>
          <w:tcPr>
            <w:tcW w:w="6997" w:type="dxa"/>
          </w:tcPr>
          <w:p w14:paraId="3BCCFE62" w14:textId="77777777" w:rsidR="00CA6A43" w:rsidRPr="00751DAC" w:rsidRDefault="00D0769D" w:rsidP="00CA6A43">
            <w:pPr>
              <w:jc w:val="both"/>
              <w:rPr>
                <w:rFonts w:ascii="Verdana" w:hAnsi="Verdana"/>
                <w:sz w:val="20"/>
              </w:rPr>
            </w:pPr>
            <w:hyperlink r:id="rId17" w:history="1">
              <w:r w:rsidR="00CA6A43" w:rsidRPr="00751DAC">
                <w:rPr>
                  <w:rStyle w:val="Hyperlinkki"/>
                  <w:rFonts w:ascii="Verdana" w:hAnsi="Verdana"/>
                  <w:sz w:val="20"/>
                </w:rPr>
                <w:t>MAO:691/15</w:t>
              </w:r>
            </w:hyperlink>
          </w:p>
          <w:p w14:paraId="4247D057" w14:textId="77777777" w:rsidR="00CA6A43" w:rsidRPr="00751DAC" w:rsidRDefault="00CA6A43" w:rsidP="00CA6A43">
            <w:pPr>
              <w:jc w:val="both"/>
              <w:rPr>
                <w:rFonts w:ascii="Verdana" w:hAnsi="Verdana"/>
                <w:sz w:val="20"/>
              </w:rPr>
            </w:pPr>
          </w:p>
          <w:p w14:paraId="5810722B" w14:textId="77777777" w:rsidR="00CA6A43" w:rsidRPr="00751DAC" w:rsidRDefault="00CA6A43" w:rsidP="00CA6A43">
            <w:pPr>
              <w:jc w:val="both"/>
              <w:rPr>
                <w:rFonts w:ascii="Verdana" w:hAnsi="Verdana"/>
                <w:b/>
                <w:sz w:val="20"/>
              </w:rPr>
            </w:pPr>
            <w:r w:rsidRPr="00751DAC">
              <w:rPr>
                <w:rFonts w:ascii="Verdana" w:hAnsi="Verdana"/>
                <w:b/>
                <w:sz w:val="20"/>
              </w:rPr>
              <w:t>Taustaa</w:t>
            </w:r>
          </w:p>
          <w:p w14:paraId="09F8D04A" w14:textId="77777777" w:rsidR="00CA6A43" w:rsidRPr="00751DAC" w:rsidRDefault="00CA6A43" w:rsidP="00CA6A43">
            <w:pPr>
              <w:jc w:val="both"/>
              <w:rPr>
                <w:rFonts w:ascii="Verdana" w:hAnsi="Verdana"/>
                <w:b/>
                <w:sz w:val="20"/>
              </w:rPr>
            </w:pPr>
          </w:p>
          <w:p w14:paraId="295B533E" w14:textId="35BF360D" w:rsidR="00CA6A43" w:rsidRPr="00751DAC" w:rsidRDefault="002D7AAE" w:rsidP="00CA6A43">
            <w:pPr>
              <w:jc w:val="both"/>
              <w:rPr>
                <w:rFonts w:ascii="Verdana" w:hAnsi="Verdana"/>
                <w:sz w:val="20"/>
              </w:rPr>
            </w:pPr>
            <w:r>
              <w:rPr>
                <w:rFonts w:ascii="Verdana" w:hAnsi="Verdana"/>
                <w:sz w:val="20"/>
              </w:rPr>
              <w:t xml:space="preserve">Hankintayksikkö, </w:t>
            </w:r>
            <w:r w:rsidR="00BC33B0">
              <w:rPr>
                <w:rFonts w:ascii="Verdana" w:hAnsi="Verdana"/>
                <w:sz w:val="20"/>
              </w:rPr>
              <w:t>Vaasan kaupunki</w:t>
            </w:r>
            <w:r>
              <w:rPr>
                <w:rFonts w:ascii="Verdana" w:hAnsi="Verdana"/>
                <w:sz w:val="20"/>
              </w:rPr>
              <w:t>,</w:t>
            </w:r>
            <w:r w:rsidR="00CB54AA">
              <w:rPr>
                <w:rFonts w:ascii="Verdana" w:hAnsi="Verdana"/>
                <w:sz w:val="20"/>
              </w:rPr>
              <w:t xml:space="preserve"> oli</w:t>
            </w:r>
            <w:r w:rsidR="00CA6A43" w:rsidRPr="00751DAC">
              <w:rPr>
                <w:rFonts w:ascii="Verdana" w:hAnsi="Verdana"/>
                <w:sz w:val="20"/>
              </w:rPr>
              <w:t xml:space="preserve"> suorahankintapäätöksellä </w:t>
            </w:r>
            <w:r w:rsidR="00CA6A43">
              <w:rPr>
                <w:rFonts w:ascii="Verdana" w:hAnsi="Verdana"/>
                <w:sz w:val="20"/>
              </w:rPr>
              <w:t xml:space="preserve">hankkinut </w:t>
            </w:r>
            <w:r w:rsidR="00CA6A43" w:rsidRPr="00751DAC">
              <w:rPr>
                <w:rFonts w:ascii="Verdana" w:hAnsi="Verdana"/>
                <w:sz w:val="20"/>
              </w:rPr>
              <w:t xml:space="preserve">Vaasan ammattiopiston käyttöön </w:t>
            </w:r>
            <w:proofErr w:type="spellStart"/>
            <w:r w:rsidR="00CA6A43" w:rsidRPr="00751DAC">
              <w:rPr>
                <w:rFonts w:ascii="Verdana" w:hAnsi="Verdana"/>
                <w:sz w:val="20"/>
              </w:rPr>
              <w:t>MultiPrimus</w:t>
            </w:r>
            <w:proofErr w:type="spellEnd"/>
            <w:r w:rsidR="00CA6A43" w:rsidRPr="00751DAC">
              <w:rPr>
                <w:rFonts w:ascii="Verdana" w:hAnsi="Verdana"/>
                <w:sz w:val="20"/>
              </w:rPr>
              <w:t xml:space="preserve">-, </w:t>
            </w:r>
            <w:proofErr w:type="spellStart"/>
            <w:r w:rsidR="00CA6A43" w:rsidRPr="00751DAC">
              <w:rPr>
                <w:rFonts w:ascii="Verdana" w:hAnsi="Verdana"/>
                <w:sz w:val="20"/>
              </w:rPr>
              <w:t>MultiKurre</w:t>
            </w:r>
            <w:proofErr w:type="spellEnd"/>
            <w:r w:rsidR="00CA6A43" w:rsidRPr="00751DAC">
              <w:rPr>
                <w:rFonts w:ascii="Verdana" w:hAnsi="Verdana"/>
                <w:sz w:val="20"/>
              </w:rPr>
              <w:t xml:space="preserve">- ja Wilma-ohjelmistot </w:t>
            </w:r>
            <w:proofErr w:type="spellStart"/>
            <w:r w:rsidR="00CA6A43" w:rsidRPr="00751DAC">
              <w:rPr>
                <w:rFonts w:ascii="Verdana" w:hAnsi="Verdana"/>
                <w:sz w:val="20"/>
              </w:rPr>
              <w:t>Starsoft</w:t>
            </w:r>
            <w:proofErr w:type="spellEnd"/>
            <w:r w:rsidR="00CA6A43" w:rsidRPr="00751DAC">
              <w:rPr>
                <w:rFonts w:ascii="Verdana" w:hAnsi="Verdana"/>
                <w:sz w:val="20"/>
              </w:rPr>
              <w:t xml:space="preserve"> Oy:ltä toistaiseksi voimassa olevalle sopimuskaudelle.</w:t>
            </w:r>
          </w:p>
          <w:p w14:paraId="2F953962" w14:textId="77777777" w:rsidR="00CA6A43" w:rsidRPr="00751DAC" w:rsidRDefault="00CA6A43" w:rsidP="00CA6A43">
            <w:pPr>
              <w:jc w:val="both"/>
              <w:rPr>
                <w:rFonts w:ascii="Verdana" w:hAnsi="Verdana"/>
                <w:sz w:val="20"/>
              </w:rPr>
            </w:pPr>
          </w:p>
          <w:p w14:paraId="0AC71F80" w14:textId="74582B32" w:rsidR="00CA6A43" w:rsidRDefault="00CA6A43" w:rsidP="00CA6A43">
            <w:pPr>
              <w:jc w:val="both"/>
              <w:rPr>
                <w:rFonts w:ascii="Verdana" w:hAnsi="Verdana"/>
                <w:sz w:val="20"/>
              </w:rPr>
            </w:pPr>
            <w:r w:rsidRPr="00751DAC">
              <w:rPr>
                <w:rFonts w:ascii="Verdana" w:hAnsi="Verdana"/>
                <w:sz w:val="20"/>
              </w:rPr>
              <w:t>Asiassa on kysymys siitä, onko Vaasan kaupunki voinut hankkia suorahankintana oppilashallinto-ohjelmiston Vaasan ammattiopiston käyttöön samalta toimittajalta, jonka kanssa sillä on ollut voimassa oleva sopimus Vaasan perusopetuksen ja lukioiden oppilashallinto-ohjelmiston toimittamisesta.</w:t>
            </w:r>
          </w:p>
          <w:p w14:paraId="757E1486" w14:textId="7FD2D1A2" w:rsidR="003B16C1" w:rsidRDefault="003B16C1" w:rsidP="00CA6A43">
            <w:pPr>
              <w:jc w:val="both"/>
              <w:rPr>
                <w:rFonts w:ascii="Verdana" w:hAnsi="Verdana"/>
                <w:sz w:val="20"/>
              </w:rPr>
            </w:pPr>
          </w:p>
          <w:p w14:paraId="55C140A4" w14:textId="11C7FB26" w:rsidR="003B16C1" w:rsidRDefault="003B16C1" w:rsidP="00CA6A43">
            <w:pPr>
              <w:jc w:val="both"/>
              <w:rPr>
                <w:rFonts w:ascii="Verdana" w:hAnsi="Verdana"/>
                <w:sz w:val="20"/>
              </w:rPr>
            </w:pPr>
            <w:r w:rsidRPr="003B16C1">
              <w:rPr>
                <w:rFonts w:ascii="Verdana" w:hAnsi="Verdana"/>
                <w:sz w:val="20"/>
              </w:rPr>
              <w:t xml:space="preserve">Hankinta oli perustunut aikaisempaan, vuonna 1996 tehtyyn Vaasan kaupungin ja </w:t>
            </w:r>
            <w:proofErr w:type="spellStart"/>
            <w:r w:rsidRPr="003B16C1">
              <w:rPr>
                <w:rFonts w:ascii="Verdana" w:hAnsi="Verdana"/>
                <w:sz w:val="20"/>
              </w:rPr>
              <w:t>Starsoft</w:t>
            </w:r>
            <w:proofErr w:type="spellEnd"/>
            <w:r w:rsidRPr="003B16C1">
              <w:rPr>
                <w:rFonts w:ascii="Verdana" w:hAnsi="Verdana"/>
                <w:sz w:val="20"/>
              </w:rPr>
              <w:t xml:space="preserve"> Oy:n väliseen </w:t>
            </w:r>
            <w:proofErr w:type="spellStart"/>
            <w:r w:rsidRPr="003B16C1">
              <w:rPr>
                <w:rFonts w:ascii="Verdana" w:hAnsi="Verdana"/>
                <w:sz w:val="20"/>
              </w:rPr>
              <w:t>Starsoft</w:t>
            </w:r>
            <w:proofErr w:type="spellEnd"/>
            <w:r w:rsidRPr="003B16C1">
              <w:rPr>
                <w:rFonts w:ascii="Verdana" w:hAnsi="Verdana"/>
                <w:sz w:val="20"/>
              </w:rPr>
              <w:t xml:space="preserve"> Primus kouluhallinto-ohjelmaa koskevaan sopimukseen. Hankintayksikkö oli esittänyt, että kysymyksessä oli ollut edellä mainitun sopimuksen laajennus. </w:t>
            </w:r>
          </w:p>
          <w:p w14:paraId="14101C23" w14:textId="77777777" w:rsidR="00CA6A43" w:rsidRDefault="00CA6A43" w:rsidP="00CA6A43">
            <w:pPr>
              <w:jc w:val="both"/>
              <w:rPr>
                <w:rFonts w:ascii="Verdana" w:hAnsi="Verdana"/>
                <w:sz w:val="20"/>
              </w:rPr>
            </w:pPr>
          </w:p>
          <w:p w14:paraId="7E7FCF41" w14:textId="7F39AED4" w:rsidR="00CA6A43" w:rsidRDefault="00CA6A43" w:rsidP="00CA6A43">
            <w:pPr>
              <w:jc w:val="both"/>
              <w:rPr>
                <w:rFonts w:ascii="Verdana" w:hAnsi="Verdana"/>
                <w:b/>
                <w:sz w:val="20"/>
              </w:rPr>
            </w:pPr>
            <w:proofErr w:type="spellStart"/>
            <w:r>
              <w:rPr>
                <w:rFonts w:ascii="Verdana" w:hAnsi="Verdana"/>
                <w:b/>
                <w:sz w:val="20"/>
              </w:rPr>
              <w:t>MAO:n</w:t>
            </w:r>
            <w:proofErr w:type="spellEnd"/>
            <w:r>
              <w:rPr>
                <w:rFonts w:ascii="Verdana" w:hAnsi="Verdana"/>
                <w:b/>
                <w:sz w:val="20"/>
              </w:rPr>
              <w:t xml:space="preserve"> ratkaisu</w:t>
            </w:r>
          </w:p>
          <w:p w14:paraId="71C3326E" w14:textId="15FD0936" w:rsidR="00CA6A43" w:rsidRDefault="00CA6A43" w:rsidP="00CA6A43">
            <w:pPr>
              <w:jc w:val="both"/>
              <w:rPr>
                <w:rFonts w:ascii="Verdana" w:hAnsi="Verdana"/>
                <w:sz w:val="20"/>
              </w:rPr>
            </w:pPr>
          </w:p>
          <w:p w14:paraId="117D09A9" w14:textId="3618FEB3" w:rsidR="00CA6A43" w:rsidRPr="00751DAC" w:rsidRDefault="00CA6A43" w:rsidP="00CA6A43">
            <w:pPr>
              <w:jc w:val="both"/>
              <w:rPr>
                <w:rFonts w:ascii="Verdana" w:hAnsi="Verdana"/>
                <w:sz w:val="20"/>
              </w:rPr>
            </w:pPr>
            <w:r>
              <w:rPr>
                <w:rFonts w:ascii="Verdana" w:hAnsi="Verdana"/>
                <w:sz w:val="20"/>
              </w:rPr>
              <w:t>MAO totesi</w:t>
            </w:r>
            <w:r w:rsidRPr="00751DAC">
              <w:rPr>
                <w:rFonts w:ascii="Verdana" w:hAnsi="Verdana"/>
                <w:sz w:val="20"/>
              </w:rPr>
              <w:t xml:space="preserve">, että </w:t>
            </w:r>
            <w:r>
              <w:rPr>
                <w:rFonts w:ascii="Verdana" w:hAnsi="Verdana"/>
                <w:sz w:val="20"/>
              </w:rPr>
              <w:t>hankinnassa oli</w:t>
            </w:r>
            <w:r w:rsidRPr="00751DAC">
              <w:rPr>
                <w:rFonts w:ascii="Verdana" w:hAnsi="Verdana"/>
                <w:sz w:val="20"/>
              </w:rPr>
              <w:t xml:space="preserve"> ollut kysymys sellaisesta oppilashallinto-ohjelmiston käyttäjäkunnan laajentamisesta, joka ei </w:t>
            </w:r>
            <w:r>
              <w:rPr>
                <w:rFonts w:ascii="Verdana" w:hAnsi="Verdana"/>
                <w:sz w:val="20"/>
              </w:rPr>
              <w:t>ollut</w:t>
            </w:r>
            <w:r w:rsidRPr="00751DAC">
              <w:rPr>
                <w:rFonts w:ascii="Verdana" w:hAnsi="Verdana"/>
                <w:sz w:val="20"/>
              </w:rPr>
              <w:t xml:space="preserve"> kuulunut vuoden 199</w:t>
            </w:r>
            <w:r>
              <w:rPr>
                <w:rFonts w:ascii="Verdana" w:hAnsi="Verdana"/>
                <w:sz w:val="20"/>
              </w:rPr>
              <w:t xml:space="preserve">6 sopimuksen piiriin. </w:t>
            </w:r>
          </w:p>
          <w:p w14:paraId="04E85265" w14:textId="77777777" w:rsidR="00CA6A43" w:rsidRDefault="00CA6A43" w:rsidP="00CA6A43">
            <w:pPr>
              <w:jc w:val="both"/>
              <w:rPr>
                <w:rFonts w:ascii="Verdana" w:hAnsi="Verdana"/>
                <w:sz w:val="20"/>
              </w:rPr>
            </w:pPr>
            <w:r w:rsidRPr="00751DAC">
              <w:rPr>
                <w:rFonts w:ascii="Verdana" w:hAnsi="Verdana"/>
                <w:sz w:val="20"/>
              </w:rPr>
              <w:lastRenderedPageBreak/>
              <w:t>Hank</w:t>
            </w:r>
            <w:r>
              <w:rPr>
                <w:rFonts w:ascii="Verdana" w:hAnsi="Verdana"/>
                <w:sz w:val="20"/>
              </w:rPr>
              <w:t>intayksikkö oli</w:t>
            </w:r>
            <w:r w:rsidRPr="00751DAC">
              <w:rPr>
                <w:rFonts w:ascii="Verdana" w:hAnsi="Verdana"/>
                <w:sz w:val="20"/>
              </w:rPr>
              <w:t xml:space="preserve"> hankintapäätöksen perusteluissa todenn</w:t>
            </w:r>
            <w:r>
              <w:rPr>
                <w:rFonts w:ascii="Verdana" w:hAnsi="Verdana"/>
                <w:sz w:val="20"/>
              </w:rPr>
              <w:t>ut, että Vaasan ammattiopisto oli</w:t>
            </w:r>
            <w:r w:rsidRPr="00751DAC">
              <w:rPr>
                <w:rFonts w:ascii="Verdana" w:hAnsi="Verdana"/>
                <w:sz w:val="20"/>
              </w:rPr>
              <w:t xml:space="preserve"> käyttänyt valittajan Helmi-ohjelmaa opiskelijahallinnossaan vuodesta 2011. </w:t>
            </w:r>
          </w:p>
          <w:p w14:paraId="5FAD906E" w14:textId="77777777" w:rsidR="00CA6A43" w:rsidRDefault="00CA6A43" w:rsidP="00CA6A43">
            <w:pPr>
              <w:jc w:val="both"/>
              <w:rPr>
                <w:rFonts w:ascii="Verdana" w:hAnsi="Verdana"/>
                <w:sz w:val="20"/>
              </w:rPr>
            </w:pPr>
          </w:p>
          <w:p w14:paraId="208ABE74" w14:textId="77777777" w:rsidR="00CA6A43" w:rsidRDefault="00CA6A43" w:rsidP="00CA6A43">
            <w:pPr>
              <w:jc w:val="both"/>
              <w:rPr>
                <w:rFonts w:ascii="Verdana" w:hAnsi="Verdana"/>
                <w:sz w:val="20"/>
              </w:rPr>
            </w:pPr>
            <w:r>
              <w:rPr>
                <w:rFonts w:ascii="Verdana" w:hAnsi="Verdana"/>
                <w:sz w:val="20"/>
              </w:rPr>
              <w:t>Helmi-järjestelmään ei ollut</w:t>
            </w:r>
            <w:r w:rsidRPr="00751DAC">
              <w:rPr>
                <w:rFonts w:ascii="Verdana" w:hAnsi="Verdana"/>
                <w:sz w:val="20"/>
              </w:rPr>
              <w:t xml:space="preserve"> kuitenkaan kuulunut ammatilliseen koulutukseen suunniteltua lukujärjestysohjelmaa. Käytössä olleen erillisen lukujä</w:t>
            </w:r>
            <w:r>
              <w:rPr>
                <w:rFonts w:ascii="Verdana" w:hAnsi="Verdana"/>
                <w:sz w:val="20"/>
              </w:rPr>
              <w:t>rjestysohjelman päivitykset olivat</w:t>
            </w:r>
            <w:r w:rsidRPr="00751DAC">
              <w:rPr>
                <w:rFonts w:ascii="Verdana" w:hAnsi="Verdana"/>
                <w:sz w:val="20"/>
              </w:rPr>
              <w:t xml:space="preserve"> loppuneet vuonna 2011. Tästä johtuen sen käyttö ei ole ollut enää mahdollista 1.8.2015 jälkeen, jolloin ovat tulleet käyttöön uudet ammatillisten tutkintojen perusteet ja opetussuunnitelmat. </w:t>
            </w:r>
          </w:p>
          <w:p w14:paraId="05B9309A" w14:textId="77777777" w:rsidR="00CA6A43" w:rsidRDefault="00CA6A43" w:rsidP="00CA6A43">
            <w:pPr>
              <w:jc w:val="both"/>
              <w:rPr>
                <w:rFonts w:ascii="Verdana" w:hAnsi="Verdana"/>
                <w:sz w:val="20"/>
              </w:rPr>
            </w:pPr>
          </w:p>
          <w:p w14:paraId="2C8A29DC" w14:textId="06B39E60" w:rsidR="00CA6A43" w:rsidRPr="00751DAC" w:rsidRDefault="00CA6A43" w:rsidP="00CA6A43">
            <w:pPr>
              <w:jc w:val="both"/>
              <w:rPr>
                <w:rFonts w:ascii="Verdana" w:hAnsi="Verdana"/>
                <w:sz w:val="20"/>
              </w:rPr>
            </w:pPr>
            <w:r w:rsidRPr="00751DAC">
              <w:rPr>
                <w:rFonts w:ascii="Verdana" w:hAnsi="Verdana"/>
                <w:sz w:val="20"/>
              </w:rPr>
              <w:t xml:space="preserve">Suorahankintaa </w:t>
            </w:r>
            <w:r>
              <w:rPr>
                <w:rFonts w:ascii="Verdana" w:hAnsi="Verdana"/>
                <w:sz w:val="20"/>
              </w:rPr>
              <w:t xml:space="preserve">oli lisäksi </w:t>
            </w:r>
            <w:r w:rsidRPr="00751DAC">
              <w:rPr>
                <w:rFonts w:ascii="Verdana" w:hAnsi="Verdana"/>
                <w:sz w:val="20"/>
              </w:rPr>
              <w:t xml:space="preserve">perusteltu sillä, että Vaasan kaupungin perusopetuksen ja lukioiden käytössä oleva </w:t>
            </w:r>
            <w:proofErr w:type="spellStart"/>
            <w:r w:rsidRPr="00751DAC">
              <w:rPr>
                <w:rFonts w:ascii="Verdana" w:hAnsi="Verdana"/>
                <w:sz w:val="20"/>
              </w:rPr>
              <w:t>St</w:t>
            </w:r>
            <w:r w:rsidR="00F349EA">
              <w:rPr>
                <w:rFonts w:ascii="Verdana" w:hAnsi="Verdana"/>
                <w:sz w:val="20"/>
              </w:rPr>
              <w:t>arsoft</w:t>
            </w:r>
            <w:proofErr w:type="spellEnd"/>
            <w:r w:rsidR="00F349EA">
              <w:rPr>
                <w:rFonts w:ascii="Verdana" w:hAnsi="Verdana"/>
                <w:sz w:val="20"/>
              </w:rPr>
              <w:t xml:space="preserve"> Oy:n ohjelmistopaketti oli</w:t>
            </w:r>
            <w:r w:rsidRPr="00751DAC">
              <w:rPr>
                <w:rFonts w:ascii="Verdana" w:hAnsi="Verdana"/>
                <w:sz w:val="20"/>
              </w:rPr>
              <w:t xml:space="preserve"> sisältänyt myös ammatilliselle puolelle soveltuvan lukuj</w:t>
            </w:r>
            <w:r w:rsidR="00F349EA">
              <w:rPr>
                <w:rFonts w:ascii="Verdana" w:hAnsi="Verdana"/>
                <w:sz w:val="20"/>
              </w:rPr>
              <w:t>ärjestysohjelman, joka oli</w:t>
            </w:r>
            <w:r w:rsidRPr="00751DAC">
              <w:rPr>
                <w:rFonts w:ascii="Verdana" w:hAnsi="Verdana"/>
                <w:sz w:val="20"/>
              </w:rPr>
              <w:t xml:space="preserve"> ollut välittömästi käyttöön otettavissa. Päätöksessä </w:t>
            </w:r>
            <w:r>
              <w:rPr>
                <w:rFonts w:ascii="Verdana" w:hAnsi="Verdana"/>
                <w:sz w:val="20"/>
              </w:rPr>
              <w:t xml:space="preserve">oli myös </w:t>
            </w:r>
            <w:r w:rsidRPr="00751DAC">
              <w:rPr>
                <w:rFonts w:ascii="Verdana" w:hAnsi="Verdana"/>
                <w:sz w:val="20"/>
              </w:rPr>
              <w:t>mainittu, että samalla syntyisi yhteinen tietokanta sekä perusopetuksen että toisen asteen nuorisokoulutuksen opiskelijoille, mikä helpottaisi nivelvaiheen työskentelyä ja yhteistyötä. Lisäksi päätöksen mukaan yhteinen ohjelmistorakenne tukisi kaupungin tukipalvelu uudistusta.</w:t>
            </w:r>
          </w:p>
          <w:p w14:paraId="4B74B350" w14:textId="77777777" w:rsidR="00CA6A43" w:rsidRPr="00751DAC" w:rsidRDefault="00CA6A43" w:rsidP="00CA6A43">
            <w:pPr>
              <w:jc w:val="both"/>
              <w:rPr>
                <w:rFonts w:ascii="Verdana" w:hAnsi="Verdana"/>
                <w:sz w:val="20"/>
              </w:rPr>
            </w:pPr>
          </w:p>
          <w:p w14:paraId="570FEE76" w14:textId="77777777" w:rsidR="00CA6A43" w:rsidRPr="00751DAC" w:rsidRDefault="00CA6A43" w:rsidP="00CA6A43">
            <w:pPr>
              <w:jc w:val="both"/>
              <w:rPr>
                <w:rFonts w:ascii="Verdana" w:hAnsi="Verdana"/>
                <w:sz w:val="20"/>
              </w:rPr>
            </w:pPr>
            <w:r>
              <w:rPr>
                <w:rFonts w:ascii="Verdana" w:hAnsi="Verdana"/>
                <w:sz w:val="20"/>
              </w:rPr>
              <w:t>Hankintayksikkö oli edelleen esittänyt</w:t>
            </w:r>
            <w:r w:rsidRPr="00751DAC">
              <w:rPr>
                <w:rFonts w:ascii="Verdana" w:hAnsi="Verdana"/>
                <w:sz w:val="20"/>
              </w:rPr>
              <w:t>, että perusteluna hankinnalle on käytetty toimivaa ja uuden opetussuunnitelman tarpeet täyttävää lukujärjestysohjelmaa, jota ei ole ollut valittajan järjestelmässä ja jota valittaja ei olisi pystynyt myöskään kehittämään vaaditussa aikataulussa. </w:t>
            </w:r>
          </w:p>
          <w:p w14:paraId="193BFC03" w14:textId="77777777" w:rsidR="00CA6A43" w:rsidRPr="00751DAC" w:rsidRDefault="00CA6A43" w:rsidP="00CA6A43">
            <w:pPr>
              <w:jc w:val="both"/>
              <w:rPr>
                <w:rFonts w:ascii="Verdana" w:hAnsi="Verdana"/>
                <w:sz w:val="20"/>
              </w:rPr>
            </w:pPr>
          </w:p>
          <w:p w14:paraId="2D3FBC15" w14:textId="7E3033D8" w:rsidR="00CA6A43" w:rsidRPr="00751DAC" w:rsidRDefault="00CA6A43" w:rsidP="00CA6A43">
            <w:pPr>
              <w:jc w:val="both"/>
              <w:rPr>
                <w:rFonts w:ascii="Verdana" w:hAnsi="Verdana"/>
                <w:sz w:val="20"/>
              </w:rPr>
            </w:pPr>
            <w:r>
              <w:rPr>
                <w:rFonts w:ascii="Verdana" w:hAnsi="Verdana"/>
                <w:sz w:val="20"/>
              </w:rPr>
              <w:t>MAO katsoi, ettei hankintayksikkö ollut</w:t>
            </w:r>
            <w:r w:rsidRPr="00751DAC">
              <w:rPr>
                <w:rFonts w:ascii="Verdana" w:hAnsi="Verdana"/>
                <w:sz w:val="20"/>
              </w:rPr>
              <w:t xml:space="preserve"> osoi</w:t>
            </w:r>
            <w:r w:rsidR="00F349EA">
              <w:rPr>
                <w:rFonts w:ascii="Verdana" w:hAnsi="Verdana"/>
                <w:sz w:val="20"/>
              </w:rPr>
              <w:t xml:space="preserve">ttanut, että vain </w:t>
            </w:r>
            <w:proofErr w:type="spellStart"/>
            <w:r w:rsidR="00F349EA">
              <w:rPr>
                <w:rFonts w:ascii="Verdana" w:hAnsi="Verdana"/>
                <w:sz w:val="20"/>
              </w:rPr>
              <w:t>Starsoft</w:t>
            </w:r>
            <w:proofErr w:type="spellEnd"/>
            <w:r w:rsidR="00F349EA">
              <w:rPr>
                <w:rFonts w:ascii="Verdana" w:hAnsi="Verdana"/>
                <w:sz w:val="20"/>
              </w:rPr>
              <w:t xml:space="preserve"> Oy olisi</w:t>
            </w:r>
            <w:r w:rsidRPr="00751DAC">
              <w:rPr>
                <w:rFonts w:ascii="Verdana" w:hAnsi="Verdana"/>
                <w:sz w:val="20"/>
              </w:rPr>
              <w:t xml:space="preserve"> voinut toteuttaa kyseessä olevan hankinnan.</w:t>
            </w:r>
          </w:p>
          <w:p w14:paraId="011F45ED" w14:textId="77777777" w:rsidR="00CA6A43" w:rsidRPr="00751DAC" w:rsidRDefault="00CA6A43" w:rsidP="00CA6A43">
            <w:pPr>
              <w:jc w:val="both"/>
              <w:rPr>
                <w:rFonts w:ascii="Verdana" w:hAnsi="Verdana"/>
                <w:sz w:val="20"/>
              </w:rPr>
            </w:pPr>
          </w:p>
          <w:p w14:paraId="6EABC2DF" w14:textId="27CA55D6" w:rsidR="00CA6A43" w:rsidRDefault="00CA6A43" w:rsidP="00CA6A43">
            <w:pPr>
              <w:jc w:val="both"/>
            </w:pPr>
            <w:r>
              <w:rPr>
                <w:rFonts w:ascii="Verdana" w:hAnsi="Verdana"/>
                <w:sz w:val="20"/>
              </w:rPr>
              <w:t>Hankintayksikkö ei ollut</w:t>
            </w:r>
            <w:r w:rsidRPr="00751DAC">
              <w:rPr>
                <w:rFonts w:ascii="Verdana" w:hAnsi="Verdana"/>
                <w:sz w:val="20"/>
              </w:rPr>
              <w:t xml:space="preserve"> myöskään osoittanut käsillä olleen sellaisen lisätilauksen, joka muodostaisi hankintalain 28 §:n 1 momentissa tarkoitetun suorahankintaperusteen.</w:t>
            </w:r>
          </w:p>
        </w:tc>
      </w:tr>
      <w:tr w:rsidR="001E6790" w:rsidRPr="000D632E" w14:paraId="517520EC" w14:textId="77777777" w:rsidTr="00647AE9">
        <w:tc>
          <w:tcPr>
            <w:tcW w:w="6997" w:type="dxa"/>
          </w:tcPr>
          <w:p w14:paraId="188A7ADD" w14:textId="236A4A80" w:rsidR="001E6790" w:rsidRPr="000D632E" w:rsidRDefault="001E6790" w:rsidP="000D632E">
            <w:pPr>
              <w:jc w:val="both"/>
              <w:rPr>
                <w:rFonts w:ascii="Verdana" w:hAnsi="Verdana"/>
                <w:b/>
                <w:sz w:val="20"/>
                <w:szCs w:val="20"/>
              </w:rPr>
            </w:pPr>
          </w:p>
        </w:tc>
        <w:tc>
          <w:tcPr>
            <w:tcW w:w="6997" w:type="dxa"/>
          </w:tcPr>
          <w:p w14:paraId="42683FA9" w14:textId="723FDBD2" w:rsidR="001E6790" w:rsidRDefault="00D0769D" w:rsidP="000D632E">
            <w:pPr>
              <w:jc w:val="both"/>
              <w:rPr>
                <w:rFonts w:ascii="Verdana" w:hAnsi="Verdana"/>
                <w:sz w:val="20"/>
                <w:szCs w:val="20"/>
              </w:rPr>
            </w:pPr>
            <w:hyperlink r:id="rId18" w:history="1">
              <w:r w:rsidR="006B17CA" w:rsidRPr="006B17CA">
                <w:rPr>
                  <w:rStyle w:val="Hyperlinkki"/>
                  <w:rFonts w:ascii="Verdana" w:hAnsi="Verdana"/>
                  <w:sz w:val="20"/>
                  <w:szCs w:val="20"/>
                </w:rPr>
                <w:t>MAO:465/15</w:t>
              </w:r>
            </w:hyperlink>
          </w:p>
          <w:p w14:paraId="16E10B3E" w14:textId="3781B88D" w:rsidR="006B17CA" w:rsidRDefault="006B17CA" w:rsidP="000D632E">
            <w:pPr>
              <w:jc w:val="both"/>
              <w:rPr>
                <w:rFonts w:ascii="Verdana" w:hAnsi="Verdana"/>
                <w:sz w:val="20"/>
                <w:szCs w:val="20"/>
              </w:rPr>
            </w:pPr>
          </w:p>
          <w:p w14:paraId="43E05FC2" w14:textId="230D7A46" w:rsidR="00B86523" w:rsidRPr="00B86523" w:rsidRDefault="00B86523" w:rsidP="000D632E">
            <w:pPr>
              <w:jc w:val="both"/>
              <w:rPr>
                <w:rFonts w:ascii="Verdana" w:hAnsi="Verdana"/>
                <w:b/>
                <w:sz w:val="20"/>
                <w:szCs w:val="20"/>
              </w:rPr>
            </w:pPr>
            <w:r>
              <w:rPr>
                <w:rFonts w:ascii="Verdana" w:hAnsi="Verdana"/>
                <w:b/>
                <w:sz w:val="20"/>
                <w:szCs w:val="20"/>
              </w:rPr>
              <w:t>Taustaa</w:t>
            </w:r>
          </w:p>
          <w:p w14:paraId="131F74BA" w14:textId="788994A1" w:rsidR="006B17CA" w:rsidRPr="006B17CA" w:rsidRDefault="006B17CA" w:rsidP="006B17CA">
            <w:pPr>
              <w:jc w:val="both"/>
              <w:rPr>
                <w:rFonts w:ascii="Verdana" w:hAnsi="Verdana"/>
                <w:sz w:val="20"/>
                <w:szCs w:val="20"/>
              </w:rPr>
            </w:pPr>
            <w:r w:rsidRPr="006B17CA">
              <w:rPr>
                <w:rFonts w:ascii="Verdana" w:hAnsi="Verdana"/>
                <w:sz w:val="20"/>
                <w:szCs w:val="20"/>
              </w:rPr>
              <w:t>Hankintayksikkö oli tehnyt anestesiatietojärjestelmän</w:t>
            </w:r>
            <w:r w:rsidR="00B86523">
              <w:rPr>
                <w:rFonts w:ascii="Verdana" w:hAnsi="Verdana"/>
                <w:sz w:val="20"/>
                <w:szCs w:val="20"/>
              </w:rPr>
              <w:t xml:space="preserve"> (Antti-järjestelmä)</w:t>
            </w:r>
            <w:r w:rsidRPr="006B17CA">
              <w:rPr>
                <w:rFonts w:ascii="Verdana" w:hAnsi="Verdana"/>
                <w:sz w:val="20"/>
                <w:szCs w:val="20"/>
              </w:rPr>
              <w:t xml:space="preserve"> lisätilauksena sen käyttämään potilastietojärjestelmään. </w:t>
            </w:r>
          </w:p>
          <w:p w14:paraId="38CDAE22" w14:textId="189A3EAE" w:rsidR="006B17CA" w:rsidRDefault="006B17CA" w:rsidP="006B17CA">
            <w:pPr>
              <w:jc w:val="both"/>
              <w:rPr>
                <w:rFonts w:ascii="Verdana" w:hAnsi="Verdana"/>
                <w:sz w:val="20"/>
                <w:szCs w:val="20"/>
              </w:rPr>
            </w:pPr>
          </w:p>
          <w:p w14:paraId="70634916" w14:textId="1DE05E28" w:rsidR="00B86523" w:rsidRDefault="000D22EA" w:rsidP="006B17CA">
            <w:pPr>
              <w:jc w:val="both"/>
              <w:rPr>
                <w:rFonts w:ascii="Verdana" w:hAnsi="Verdana"/>
                <w:sz w:val="20"/>
                <w:szCs w:val="20"/>
              </w:rPr>
            </w:pPr>
            <w:r>
              <w:rPr>
                <w:rFonts w:ascii="Verdana" w:hAnsi="Verdana"/>
                <w:sz w:val="20"/>
                <w:szCs w:val="20"/>
              </w:rPr>
              <w:t>Suorahankintapäätöksessä oli</w:t>
            </w:r>
            <w:r w:rsidR="00B86523" w:rsidRPr="00B86523">
              <w:rPr>
                <w:rFonts w:ascii="Verdana" w:hAnsi="Verdana"/>
                <w:sz w:val="20"/>
                <w:szCs w:val="20"/>
              </w:rPr>
              <w:t xml:space="preserve"> todettu, </w:t>
            </w:r>
            <w:r>
              <w:rPr>
                <w:rFonts w:ascii="Verdana" w:hAnsi="Verdana"/>
                <w:sz w:val="20"/>
                <w:szCs w:val="20"/>
              </w:rPr>
              <w:t>että hankintayksikön käytössä oli</w:t>
            </w:r>
            <w:r w:rsidR="00B86523" w:rsidRPr="00B86523">
              <w:rPr>
                <w:rFonts w:ascii="Verdana" w:hAnsi="Verdana"/>
                <w:sz w:val="20"/>
                <w:szCs w:val="20"/>
              </w:rPr>
              <w:t xml:space="preserve"> Pohjois-Pohjanmaan sairaanhoitopiirin kuntayhtymän ylläpitämä Esko-potilaskertomusjärjestelmä. Suorahankintapäätöksen mukaan Antti-anestesiatietojärjestelmä on Esko-potilaskertomusjärjestelmän laajennus, joka mahdollistaa anestesian kannalta tärkeiden tietojen dokumentoinnin anestesiakertomuksen muodossa. Anestesiakertomukset tallentuvat Esko-potilaskertomusjärjestelmän yhdeksi välilehdeksi ja ovat sieltä luettavissa sähköisessä muodossa. Antti-anestesiatietojärjestelmä on myös integroitu Esko-potilaskertomusjärjestelmän lääkehoito-osion kanssa niin, että lääkemääräykset ja antokirjaukset sekä interaktiotarkistukset käyttävät samaa lääkehoito-osiota koko anestesiatapahtuman läpi.</w:t>
            </w:r>
          </w:p>
          <w:p w14:paraId="7E476CA9" w14:textId="7BA0A035" w:rsidR="00B86523" w:rsidRDefault="00B86523" w:rsidP="006B17CA">
            <w:pPr>
              <w:jc w:val="both"/>
              <w:rPr>
                <w:rFonts w:ascii="Verdana" w:hAnsi="Verdana"/>
                <w:sz w:val="20"/>
                <w:szCs w:val="20"/>
              </w:rPr>
            </w:pPr>
          </w:p>
          <w:p w14:paraId="5C2F0DA2" w14:textId="6F8F7D2F" w:rsidR="00751DAC" w:rsidRDefault="00751DAC" w:rsidP="006B17CA">
            <w:pPr>
              <w:jc w:val="both"/>
              <w:rPr>
                <w:rFonts w:ascii="Verdana" w:hAnsi="Verdana"/>
                <w:b/>
                <w:sz w:val="20"/>
                <w:szCs w:val="20"/>
              </w:rPr>
            </w:pPr>
            <w:proofErr w:type="spellStart"/>
            <w:r>
              <w:rPr>
                <w:rFonts w:ascii="Verdana" w:hAnsi="Verdana"/>
                <w:b/>
                <w:sz w:val="20"/>
                <w:szCs w:val="20"/>
              </w:rPr>
              <w:t>MAO:n</w:t>
            </w:r>
            <w:proofErr w:type="spellEnd"/>
            <w:r>
              <w:rPr>
                <w:rFonts w:ascii="Verdana" w:hAnsi="Verdana"/>
                <w:b/>
                <w:sz w:val="20"/>
                <w:szCs w:val="20"/>
              </w:rPr>
              <w:t xml:space="preserve"> ratkaisu</w:t>
            </w:r>
          </w:p>
          <w:p w14:paraId="6EC261B1" w14:textId="77777777" w:rsidR="00751DAC" w:rsidRPr="00751DAC" w:rsidRDefault="00751DAC" w:rsidP="006B17CA">
            <w:pPr>
              <w:jc w:val="both"/>
              <w:rPr>
                <w:rFonts w:ascii="Verdana" w:hAnsi="Verdana"/>
                <w:b/>
                <w:sz w:val="20"/>
                <w:szCs w:val="20"/>
              </w:rPr>
            </w:pPr>
          </w:p>
          <w:p w14:paraId="139836A5" w14:textId="3C4D97D7" w:rsidR="006B17CA" w:rsidRPr="000D632E" w:rsidRDefault="006B17CA" w:rsidP="000D632E">
            <w:pPr>
              <w:jc w:val="both"/>
              <w:rPr>
                <w:rFonts w:ascii="Verdana" w:hAnsi="Verdana"/>
                <w:sz w:val="20"/>
                <w:szCs w:val="20"/>
              </w:rPr>
            </w:pPr>
            <w:proofErr w:type="spellStart"/>
            <w:r w:rsidRPr="006B17CA">
              <w:rPr>
                <w:rFonts w:ascii="Verdana" w:hAnsi="Verdana"/>
                <w:sz w:val="20"/>
                <w:szCs w:val="20"/>
              </w:rPr>
              <w:t>MAO:n</w:t>
            </w:r>
            <w:proofErr w:type="spellEnd"/>
            <w:r w:rsidRPr="006B17CA">
              <w:rPr>
                <w:rFonts w:ascii="Verdana" w:hAnsi="Verdana"/>
                <w:sz w:val="20"/>
                <w:szCs w:val="20"/>
              </w:rPr>
              <w:t xml:space="preserve"> mukaan hankintayksiköllä ei ollut edellytyksiä tehdä lisätilausta suorahankintana 28.1 §:n perusteella, koska lisätilaus oli päätetty tehdä vasta noin 10 vuotta alkuperäisen hankinnan tekemisen jälkeen. Hankintayksikkö ei muutenkaan ollut osoittanut, että toimittajan vaihtaminen johtaisi teknisiltä ominaisuuksiltaan erilaisen materiaalin hankkimiseen, mikä aiheuttaisi yhteensopimattomuutta tai suhteettoman suuria teknisiä vaikeuksia käytössä ja kunnossapidossa.</w:t>
            </w:r>
          </w:p>
        </w:tc>
      </w:tr>
      <w:tr w:rsidR="009306F1" w:rsidRPr="000D632E" w14:paraId="226C5C1D" w14:textId="77777777" w:rsidTr="00647AE9">
        <w:tc>
          <w:tcPr>
            <w:tcW w:w="6997" w:type="dxa"/>
          </w:tcPr>
          <w:p w14:paraId="11E2B674" w14:textId="77777777" w:rsidR="009306F1" w:rsidRPr="000D632E" w:rsidRDefault="009306F1" w:rsidP="000D632E">
            <w:pPr>
              <w:jc w:val="both"/>
              <w:rPr>
                <w:rFonts w:ascii="Verdana" w:hAnsi="Verdana"/>
                <w:b/>
                <w:sz w:val="20"/>
                <w:szCs w:val="20"/>
              </w:rPr>
            </w:pPr>
          </w:p>
        </w:tc>
        <w:tc>
          <w:tcPr>
            <w:tcW w:w="6997" w:type="dxa"/>
          </w:tcPr>
          <w:p w14:paraId="0AA35081" w14:textId="77777777" w:rsidR="009306F1" w:rsidRPr="0058720B" w:rsidRDefault="00D0769D" w:rsidP="009306F1">
            <w:pPr>
              <w:jc w:val="both"/>
              <w:rPr>
                <w:rFonts w:ascii="Verdana" w:hAnsi="Verdana"/>
                <w:sz w:val="20"/>
              </w:rPr>
            </w:pPr>
            <w:hyperlink r:id="rId19" w:history="1">
              <w:r w:rsidR="009306F1" w:rsidRPr="0058720B">
                <w:rPr>
                  <w:rStyle w:val="Hyperlinkki"/>
                  <w:rFonts w:ascii="Verdana" w:hAnsi="Verdana"/>
                  <w:sz w:val="20"/>
                </w:rPr>
                <w:t>MAO:194/15</w:t>
              </w:r>
            </w:hyperlink>
          </w:p>
          <w:p w14:paraId="43438434" w14:textId="71C2B93A" w:rsidR="009306F1" w:rsidRPr="0058720B" w:rsidRDefault="00E7157D" w:rsidP="009306F1">
            <w:pPr>
              <w:jc w:val="both"/>
              <w:rPr>
                <w:rFonts w:ascii="Verdana" w:hAnsi="Verdana"/>
                <w:sz w:val="20"/>
              </w:rPr>
            </w:pPr>
            <w:r>
              <w:rPr>
                <w:rFonts w:ascii="Verdana" w:hAnsi="Verdana"/>
                <w:sz w:val="20"/>
              </w:rPr>
              <w:t>(K</w:t>
            </w:r>
            <w:r w:rsidR="009306F1" w:rsidRPr="0058720B">
              <w:rPr>
                <w:rFonts w:ascii="Verdana" w:hAnsi="Verdana"/>
                <w:sz w:val="20"/>
              </w:rPr>
              <w:t>ysymys myös teknisestä syystä, jonka vuoksi vain yksi toimittaja voisi toteuttaa hankinnan)</w:t>
            </w:r>
          </w:p>
          <w:p w14:paraId="529E14EC" w14:textId="0E7AFE1A" w:rsidR="009306F1" w:rsidRDefault="009306F1" w:rsidP="009306F1">
            <w:pPr>
              <w:jc w:val="both"/>
              <w:rPr>
                <w:rFonts w:ascii="Verdana" w:hAnsi="Verdana"/>
                <w:sz w:val="20"/>
              </w:rPr>
            </w:pPr>
          </w:p>
          <w:p w14:paraId="1F72F39B" w14:textId="4891C477" w:rsidR="0058720B" w:rsidRDefault="0058720B" w:rsidP="009306F1">
            <w:pPr>
              <w:jc w:val="both"/>
              <w:rPr>
                <w:rFonts w:ascii="Verdana" w:hAnsi="Verdana"/>
                <w:b/>
                <w:sz w:val="20"/>
              </w:rPr>
            </w:pPr>
            <w:r>
              <w:rPr>
                <w:rFonts w:ascii="Verdana" w:hAnsi="Verdana"/>
                <w:b/>
                <w:sz w:val="20"/>
              </w:rPr>
              <w:lastRenderedPageBreak/>
              <w:t>Taustaa</w:t>
            </w:r>
          </w:p>
          <w:p w14:paraId="1B2AE445" w14:textId="77777777" w:rsidR="0058720B" w:rsidRPr="0058720B" w:rsidRDefault="0058720B" w:rsidP="009306F1">
            <w:pPr>
              <w:jc w:val="both"/>
              <w:rPr>
                <w:rFonts w:ascii="Verdana" w:hAnsi="Verdana"/>
                <w:b/>
                <w:sz w:val="20"/>
              </w:rPr>
            </w:pPr>
          </w:p>
          <w:p w14:paraId="628B504B" w14:textId="70404954" w:rsidR="009306F1" w:rsidRPr="0058720B" w:rsidRDefault="00E7157D" w:rsidP="009306F1">
            <w:pPr>
              <w:jc w:val="both"/>
              <w:rPr>
                <w:rFonts w:ascii="Verdana" w:hAnsi="Verdana"/>
                <w:sz w:val="20"/>
              </w:rPr>
            </w:pPr>
            <w:r>
              <w:rPr>
                <w:rFonts w:ascii="Verdana" w:hAnsi="Verdana"/>
                <w:sz w:val="20"/>
              </w:rPr>
              <w:t>Hankintayksikkö oli</w:t>
            </w:r>
            <w:r w:rsidR="0058720B">
              <w:rPr>
                <w:rFonts w:ascii="Verdana" w:hAnsi="Verdana"/>
                <w:sz w:val="20"/>
              </w:rPr>
              <w:t xml:space="preserve"> hankkinut </w:t>
            </w:r>
            <w:r w:rsidR="009306F1" w:rsidRPr="0058720B">
              <w:rPr>
                <w:rFonts w:ascii="Verdana" w:hAnsi="Verdana"/>
                <w:sz w:val="20"/>
              </w:rPr>
              <w:t xml:space="preserve">liikennevalojen ohjaus- ja valvontajärjestelmän päivityksen suorahankintana </w:t>
            </w:r>
            <w:r w:rsidR="00602CC8">
              <w:rPr>
                <w:rFonts w:ascii="Verdana" w:hAnsi="Verdana"/>
                <w:sz w:val="20"/>
              </w:rPr>
              <w:t>valitulta tarjoajalta</w:t>
            </w:r>
            <w:r w:rsidR="009306F1" w:rsidRPr="0058720B">
              <w:rPr>
                <w:rFonts w:ascii="Verdana" w:hAnsi="Verdana"/>
                <w:sz w:val="20"/>
              </w:rPr>
              <w:t>.</w:t>
            </w:r>
          </w:p>
          <w:p w14:paraId="3E189B3F" w14:textId="461F21DE" w:rsidR="009306F1" w:rsidRPr="0058720B" w:rsidRDefault="00602CC8" w:rsidP="009306F1">
            <w:pPr>
              <w:jc w:val="both"/>
              <w:rPr>
                <w:rFonts w:ascii="Verdana" w:hAnsi="Verdana"/>
                <w:sz w:val="20"/>
              </w:rPr>
            </w:pPr>
            <w:r>
              <w:rPr>
                <w:rFonts w:ascii="Verdana" w:hAnsi="Verdana"/>
                <w:sz w:val="20"/>
              </w:rPr>
              <w:t>Suorahankintap</w:t>
            </w:r>
            <w:r w:rsidR="009306F1" w:rsidRPr="0058720B">
              <w:rPr>
                <w:rFonts w:ascii="Verdana" w:hAnsi="Verdana"/>
                <w:sz w:val="20"/>
              </w:rPr>
              <w:t xml:space="preserve">äätöksessä </w:t>
            </w:r>
            <w:r w:rsidR="0058720B">
              <w:rPr>
                <w:rFonts w:ascii="Verdana" w:hAnsi="Verdana"/>
                <w:sz w:val="20"/>
              </w:rPr>
              <w:t>oli</w:t>
            </w:r>
            <w:r w:rsidR="009306F1" w:rsidRPr="0058720B">
              <w:rPr>
                <w:rFonts w:ascii="Verdana" w:hAnsi="Verdana"/>
                <w:sz w:val="20"/>
              </w:rPr>
              <w:t xml:space="preserve"> todettu, että kyseessä olevien liikennevalolaitteiden liittämistä markkinoilla olevaan toiseen järj</w:t>
            </w:r>
            <w:r w:rsidR="0058720B">
              <w:rPr>
                <w:rFonts w:ascii="Verdana" w:hAnsi="Verdana"/>
                <w:sz w:val="20"/>
              </w:rPr>
              <w:t>estelmään oli kokeiltu ja että se ei ollut</w:t>
            </w:r>
            <w:r w:rsidR="009306F1" w:rsidRPr="0058720B">
              <w:rPr>
                <w:rFonts w:ascii="Verdana" w:hAnsi="Verdana"/>
                <w:sz w:val="20"/>
              </w:rPr>
              <w:t xml:space="preserve"> yli vuoden yrittämisen jälkeen onnistunut. Päätöksen mukaan teknisiltä ominaisuuksiltaan erilaisen järjestelmän hankinta aiheuttaisi yhteensopimattomuutta ja suhteettoman suuria teknisiä vaikeuksia käytössä ja ylläpidossa.</w:t>
            </w:r>
          </w:p>
          <w:p w14:paraId="3F286BF4" w14:textId="77777777" w:rsidR="009306F1" w:rsidRPr="0058720B" w:rsidRDefault="009306F1" w:rsidP="009306F1">
            <w:pPr>
              <w:jc w:val="both"/>
              <w:rPr>
                <w:rFonts w:ascii="Verdana" w:hAnsi="Verdana"/>
                <w:sz w:val="20"/>
              </w:rPr>
            </w:pPr>
          </w:p>
          <w:p w14:paraId="28ECE7E8" w14:textId="6FBD35F0" w:rsidR="009306F1" w:rsidRPr="0058720B" w:rsidRDefault="0058720B" w:rsidP="009306F1">
            <w:pPr>
              <w:jc w:val="both"/>
              <w:rPr>
                <w:rFonts w:ascii="Verdana" w:hAnsi="Verdana"/>
                <w:sz w:val="20"/>
              </w:rPr>
            </w:pPr>
            <w:r>
              <w:rPr>
                <w:rFonts w:ascii="Verdana" w:hAnsi="Verdana"/>
                <w:sz w:val="20"/>
              </w:rPr>
              <w:t>Hankintayksikkö oli</w:t>
            </w:r>
            <w:r w:rsidR="009306F1" w:rsidRPr="0058720B">
              <w:rPr>
                <w:rFonts w:ascii="Verdana" w:hAnsi="Verdana"/>
                <w:sz w:val="20"/>
              </w:rPr>
              <w:t xml:space="preserve"> esittänyt, että mahdo</w:t>
            </w:r>
            <w:r>
              <w:rPr>
                <w:rFonts w:ascii="Verdana" w:hAnsi="Verdana"/>
                <w:sz w:val="20"/>
              </w:rPr>
              <w:t>llisia järjestelmätoimittajia oli</w:t>
            </w:r>
            <w:r w:rsidR="009306F1" w:rsidRPr="0058720B">
              <w:rPr>
                <w:rFonts w:ascii="Verdana" w:hAnsi="Verdana"/>
                <w:sz w:val="20"/>
              </w:rPr>
              <w:t xml:space="preserve"> ensin ollut kaksi. </w:t>
            </w:r>
            <w:r>
              <w:rPr>
                <w:rFonts w:ascii="Verdana" w:hAnsi="Verdana"/>
                <w:sz w:val="20"/>
              </w:rPr>
              <w:t>Hankintayksikkö oli</w:t>
            </w:r>
            <w:r w:rsidR="009306F1" w:rsidRPr="0058720B">
              <w:rPr>
                <w:rFonts w:ascii="Verdana" w:hAnsi="Verdana"/>
                <w:sz w:val="20"/>
              </w:rPr>
              <w:t xml:space="preserve"> muiden hankintayksiköiden kanssa järjestänyt testiympäristö</w:t>
            </w:r>
            <w:r w:rsidR="00602CC8">
              <w:rPr>
                <w:rFonts w:ascii="Verdana" w:hAnsi="Verdana"/>
                <w:sz w:val="20"/>
              </w:rPr>
              <w:t>n, jolla oli</w:t>
            </w:r>
            <w:r w:rsidR="009306F1" w:rsidRPr="0058720B">
              <w:rPr>
                <w:rFonts w:ascii="Verdana" w:hAnsi="Verdana"/>
                <w:sz w:val="20"/>
              </w:rPr>
              <w:t xml:space="preserve"> ennen kilpailutusta haluttu varmistua siitä, toimivatko kahden mahdollisen toimittajan järjestelmät </w:t>
            </w:r>
            <w:r>
              <w:rPr>
                <w:rFonts w:ascii="Verdana" w:hAnsi="Verdana"/>
                <w:sz w:val="20"/>
              </w:rPr>
              <w:t xml:space="preserve">hankintayksikön </w:t>
            </w:r>
            <w:r w:rsidR="009306F1" w:rsidRPr="0058720B">
              <w:rPr>
                <w:rFonts w:ascii="Verdana" w:hAnsi="Verdana"/>
                <w:sz w:val="20"/>
              </w:rPr>
              <w:t xml:space="preserve">omistamilla laitetyypeillä. </w:t>
            </w:r>
            <w:r>
              <w:rPr>
                <w:rFonts w:ascii="Verdana" w:hAnsi="Verdana"/>
                <w:sz w:val="20"/>
              </w:rPr>
              <w:t>Hankintayksikön</w:t>
            </w:r>
            <w:r w:rsidR="009306F1" w:rsidRPr="0058720B">
              <w:rPr>
                <w:rFonts w:ascii="Verdana" w:hAnsi="Verdana"/>
                <w:sz w:val="20"/>
              </w:rPr>
              <w:t xml:space="preserve"> mukaan </w:t>
            </w:r>
            <w:r>
              <w:rPr>
                <w:rFonts w:ascii="Verdana" w:hAnsi="Verdana"/>
                <w:sz w:val="20"/>
              </w:rPr>
              <w:t>valittaja</w:t>
            </w:r>
            <w:r w:rsidR="00602CC8">
              <w:rPr>
                <w:rFonts w:ascii="Verdana" w:hAnsi="Verdana"/>
                <w:sz w:val="20"/>
              </w:rPr>
              <w:t xml:space="preserve"> ei ollut</w:t>
            </w:r>
            <w:r w:rsidR="009306F1" w:rsidRPr="0058720B">
              <w:rPr>
                <w:rFonts w:ascii="Verdana" w:hAnsi="Verdana"/>
                <w:sz w:val="20"/>
              </w:rPr>
              <w:t xml:space="preserve"> kuitenkaan testiympäristössä kyennyt kytkemään kaupungin ohjauslaitetta järjestelmäänsä, toisin kuin </w:t>
            </w:r>
            <w:r w:rsidR="00602CC8">
              <w:rPr>
                <w:rFonts w:ascii="Verdana" w:hAnsi="Verdana"/>
                <w:sz w:val="20"/>
              </w:rPr>
              <w:t>valittu tarjoaja</w:t>
            </w:r>
            <w:r w:rsidR="009306F1" w:rsidRPr="0058720B">
              <w:rPr>
                <w:rFonts w:ascii="Verdana" w:hAnsi="Verdana"/>
                <w:sz w:val="20"/>
              </w:rPr>
              <w:t xml:space="preserve">, ja että tästä syystä </w:t>
            </w:r>
            <w:r w:rsidR="00602CC8">
              <w:rPr>
                <w:rFonts w:ascii="Verdana" w:hAnsi="Verdana"/>
                <w:sz w:val="20"/>
              </w:rPr>
              <w:t xml:space="preserve">valittu tarjoaja </w:t>
            </w:r>
            <w:r w:rsidR="009306F1" w:rsidRPr="0058720B">
              <w:rPr>
                <w:rFonts w:ascii="Verdana" w:hAnsi="Verdana"/>
                <w:sz w:val="20"/>
              </w:rPr>
              <w:t>on ollut ainoa mahdollinen toimittaja.</w:t>
            </w:r>
          </w:p>
          <w:p w14:paraId="75F75339" w14:textId="52FE4423" w:rsidR="009306F1" w:rsidRDefault="009306F1" w:rsidP="009306F1">
            <w:pPr>
              <w:jc w:val="both"/>
              <w:rPr>
                <w:rFonts w:ascii="Verdana" w:hAnsi="Verdana"/>
                <w:sz w:val="20"/>
              </w:rPr>
            </w:pPr>
          </w:p>
          <w:p w14:paraId="7F88C7C1" w14:textId="02DE83F2" w:rsidR="0058720B" w:rsidRDefault="0058720B" w:rsidP="009306F1">
            <w:pPr>
              <w:jc w:val="both"/>
              <w:rPr>
                <w:rFonts w:ascii="Verdana" w:hAnsi="Verdana"/>
                <w:b/>
                <w:sz w:val="20"/>
              </w:rPr>
            </w:pPr>
            <w:proofErr w:type="spellStart"/>
            <w:r>
              <w:rPr>
                <w:rFonts w:ascii="Verdana" w:hAnsi="Verdana"/>
                <w:b/>
                <w:sz w:val="20"/>
              </w:rPr>
              <w:t>MAO:n</w:t>
            </w:r>
            <w:proofErr w:type="spellEnd"/>
            <w:r>
              <w:rPr>
                <w:rFonts w:ascii="Verdana" w:hAnsi="Verdana"/>
                <w:b/>
                <w:sz w:val="20"/>
              </w:rPr>
              <w:t xml:space="preserve"> ratkaisu</w:t>
            </w:r>
          </w:p>
          <w:p w14:paraId="2D7890DD" w14:textId="77777777" w:rsidR="0058720B" w:rsidRPr="0058720B" w:rsidRDefault="0058720B" w:rsidP="009306F1">
            <w:pPr>
              <w:jc w:val="both"/>
              <w:rPr>
                <w:rFonts w:ascii="Verdana" w:hAnsi="Verdana"/>
                <w:b/>
                <w:sz w:val="20"/>
              </w:rPr>
            </w:pPr>
          </w:p>
          <w:p w14:paraId="7196AABE" w14:textId="251DFE8C" w:rsidR="0058720B" w:rsidRDefault="0058720B" w:rsidP="009306F1">
            <w:pPr>
              <w:jc w:val="both"/>
              <w:rPr>
                <w:rFonts w:ascii="Verdana" w:hAnsi="Verdana"/>
                <w:sz w:val="20"/>
              </w:rPr>
            </w:pPr>
            <w:r>
              <w:rPr>
                <w:rFonts w:ascii="Verdana" w:hAnsi="Verdana"/>
                <w:sz w:val="20"/>
              </w:rPr>
              <w:t>MAO</w:t>
            </w:r>
            <w:r w:rsidR="009306F1" w:rsidRPr="0058720B">
              <w:rPr>
                <w:rFonts w:ascii="Verdana" w:hAnsi="Verdana"/>
                <w:sz w:val="20"/>
              </w:rPr>
              <w:t xml:space="preserve"> </w:t>
            </w:r>
            <w:r>
              <w:rPr>
                <w:rFonts w:ascii="Verdana" w:hAnsi="Verdana"/>
                <w:sz w:val="20"/>
              </w:rPr>
              <w:t>totesi</w:t>
            </w:r>
            <w:r w:rsidR="00602CC8">
              <w:rPr>
                <w:rFonts w:ascii="Verdana" w:hAnsi="Verdana"/>
                <w:sz w:val="20"/>
              </w:rPr>
              <w:t>, että markkinoilla oli</w:t>
            </w:r>
            <w:r w:rsidR="009306F1" w:rsidRPr="0058720B">
              <w:rPr>
                <w:rFonts w:ascii="Verdana" w:hAnsi="Verdana"/>
                <w:sz w:val="20"/>
              </w:rPr>
              <w:t xml:space="preserve"> ollut ainakin kaksi mahdollista suorahankinnan kohteena olevan liikennevalojen ohjaus- ja valvontajärjestelmän toimittajaa. </w:t>
            </w:r>
          </w:p>
          <w:p w14:paraId="60ADC6B2" w14:textId="77777777" w:rsidR="0058720B" w:rsidRDefault="0058720B" w:rsidP="009306F1">
            <w:pPr>
              <w:jc w:val="both"/>
              <w:rPr>
                <w:rFonts w:ascii="Verdana" w:hAnsi="Verdana"/>
                <w:sz w:val="20"/>
              </w:rPr>
            </w:pPr>
          </w:p>
          <w:p w14:paraId="25E7D0BC" w14:textId="051CFA24" w:rsidR="0058720B" w:rsidRDefault="0058720B" w:rsidP="009306F1">
            <w:pPr>
              <w:jc w:val="both"/>
              <w:rPr>
                <w:rFonts w:ascii="Verdana" w:hAnsi="Verdana"/>
                <w:sz w:val="20"/>
              </w:rPr>
            </w:pPr>
            <w:r>
              <w:rPr>
                <w:rFonts w:ascii="Verdana" w:hAnsi="Verdana"/>
                <w:sz w:val="20"/>
              </w:rPr>
              <w:t>Hankintayksikkö</w:t>
            </w:r>
            <w:r w:rsidR="009306F1" w:rsidRPr="0058720B">
              <w:rPr>
                <w:rFonts w:ascii="Verdana" w:hAnsi="Verdana"/>
                <w:sz w:val="20"/>
              </w:rPr>
              <w:t xml:space="preserve"> </w:t>
            </w:r>
            <w:r>
              <w:rPr>
                <w:rFonts w:ascii="Verdana" w:hAnsi="Verdana"/>
                <w:sz w:val="20"/>
              </w:rPr>
              <w:t xml:space="preserve">oli testaushankkeen </w:t>
            </w:r>
            <w:r w:rsidR="009306F1" w:rsidRPr="0058720B">
              <w:rPr>
                <w:rFonts w:ascii="Verdana" w:hAnsi="Verdana"/>
                <w:sz w:val="20"/>
              </w:rPr>
              <w:t xml:space="preserve">avulla pyrkinyt määrittelemään hankinnan kohteen tekniset vaatimukset, joita </w:t>
            </w:r>
            <w:r>
              <w:rPr>
                <w:rFonts w:ascii="Verdana" w:hAnsi="Verdana"/>
                <w:sz w:val="20"/>
              </w:rPr>
              <w:t xml:space="preserve">hankintayksikön </w:t>
            </w:r>
            <w:r w:rsidR="009306F1" w:rsidRPr="0058720B">
              <w:rPr>
                <w:rFonts w:ascii="Verdana" w:hAnsi="Verdana"/>
                <w:sz w:val="20"/>
              </w:rPr>
              <w:t>o</w:t>
            </w:r>
            <w:r>
              <w:rPr>
                <w:rFonts w:ascii="Verdana" w:hAnsi="Verdana"/>
                <w:sz w:val="20"/>
              </w:rPr>
              <w:t>li</w:t>
            </w:r>
            <w:r w:rsidR="009306F1" w:rsidRPr="0058720B">
              <w:rPr>
                <w:rFonts w:ascii="Verdana" w:hAnsi="Verdana"/>
                <w:sz w:val="20"/>
              </w:rPr>
              <w:t xml:space="preserve"> ollut tarkoitus käyttää avoimessa kilpailutuksessa. </w:t>
            </w:r>
            <w:r>
              <w:rPr>
                <w:rFonts w:ascii="Verdana" w:hAnsi="Verdana"/>
                <w:sz w:val="20"/>
              </w:rPr>
              <w:t xml:space="preserve">Hankintayksikkö </w:t>
            </w:r>
            <w:r w:rsidR="001B381E">
              <w:rPr>
                <w:rFonts w:ascii="Verdana" w:hAnsi="Verdana"/>
                <w:sz w:val="20"/>
              </w:rPr>
              <w:t>ei ollut</w:t>
            </w:r>
            <w:r w:rsidR="009306F1" w:rsidRPr="0058720B">
              <w:rPr>
                <w:rFonts w:ascii="Verdana" w:hAnsi="Verdana"/>
                <w:sz w:val="20"/>
              </w:rPr>
              <w:t xml:space="preserve"> kuitenkaan määritellyt hankinnan kohteen teknisiä vaatimuksia testaushankkeen päätyttyä. </w:t>
            </w:r>
          </w:p>
          <w:p w14:paraId="57F43EDA" w14:textId="77777777" w:rsidR="001B381E" w:rsidRDefault="001B381E" w:rsidP="009306F1">
            <w:pPr>
              <w:jc w:val="both"/>
              <w:rPr>
                <w:rFonts w:ascii="Verdana" w:hAnsi="Verdana"/>
                <w:sz w:val="20"/>
              </w:rPr>
            </w:pPr>
          </w:p>
          <w:p w14:paraId="3CE8339A" w14:textId="4E53054F" w:rsidR="009306F1" w:rsidRPr="0058720B" w:rsidRDefault="0058720B" w:rsidP="009306F1">
            <w:pPr>
              <w:jc w:val="both"/>
              <w:rPr>
                <w:rFonts w:ascii="Verdana" w:hAnsi="Verdana"/>
                <w:sz w:val="20"/>
              </w:rPr>
            </w:pPr>
            <w:r>
              <w:rPr>
                <w:rFonts w:ascii="Verdana" w:hAnsi="Verdana"/>
                <w:sz w:val="20"/>
              </w:rPr>
              <w:t>MAO katsoi</w:t>
            </w:r>
            <w:r w:rsidR="009306F1" w:rsidRPr="0058720B">
              <w:rPr>
                <w:rFonts w:ascii="Verdana" w:hAnsi="Verdana"/>
                <w:sz w:val="20"/>
              </w:rPr>
              <w:t>, että hankintayksikön selvitystä testausympäristön järjestämisestä ja testaustuloksista ei tässä tapauksessa voida pitää riittävänä näyttönä osoittamaan sitä, että teknisestä syystä vain tietty toimittaja voi toteuttaa hankinnan.</w:t>
            </w:r>
          </w:p>
          <w:p w14:paraId="78294EE9" w14:textId="77777777" w:rsidR="009306F1" w:rsidRPr="0058720B" w:rsidRDefault="009306F1" w:rsidP="009306F1">
            <w:pPr>
              <w:jc w:val="both"/>
              <w:rPr>
                <w:rFonts w:ascii="Verdana" w:hAnsi="Verdana"/>
                <w:sz w:val="20"/>
              </w:rPr>
            </w:pPr>
          </w:p>
          <w:p w14:paraId="6AA3394D" w14:textId="77039D8B" w:rsidR="009306F1" w:rsidRDefault="0058720B" w:rsidP="009306F1">
            <w:pPr>
              <w:jc w:val="both"/>
              <w:rPr>
                <w:rFonts w:ascii="Verdana" w:hAnsi="Verdana"/>
                <w:sz w:val="20"/>
              </w:rPr>
            </w:pPr>
            <w:r>
              <w:rPr>
                <w:rFonts w:ascii="Verdana" w:hAnsi="Verdana"/>
                <w:sz w:val="20"/>
              </w:rPr>
              <w:t>Hankintayksikön hankintapäätöksestä kävi</w:t>
            </w:r>
            <w:r w:rsidR="009306F1" w:rsidRPr="0058720B">
              <w:rPr>
                <w:rFonts w:ascii="Verdana" w:hAnsi="Verdana"/>
                <w:sz w:val="20"/>
              </w:rPr>
              <w:t xml:space="preserve"> ilmi, että </w:t>
            </w:r>
            <w:r>
              <w:rPr>
                <w:rFonts w:ascii="Verdana" w:hAnsi="Verdana"/>
                <w:sz w:val="20"/>
              </w:rPr>
              <w:t>hankintayksiköllä oli</w:t>
            </w:r>
            <w:r w:rsidR="009306F1" w:rsidRPr="0058720B">
              <w:rPr>
                <w:rFonts w:ascii="Verdana" w:hAnsi="Verdana"/>
                <w:sz w:val="20"/>
              </w:rPr>
              <w:t xml:space="preserve"> päätöstä tehtäessä ollut käytössään kaksi liikennevalojen ohjaus- ja valvontajärjestelmää ja että toinen niistä on ollut </w:t>
            </w:r>
            <w:r w:rsidR="007E1ECC">
              <w:rPr>
                <w:rFonts w:ascii="Verdana" w:hAnsi="Verdana"/>
                <w:sz w:val="20"/>
              </w:rPr>
              <w:t xml:space="preserve">valitun tarjoajan </w:t>
            </w:r>
            <w:r w:rsidR="009306F1" w:rsidRPr="0058720B">
              <w:rPr>
                <w:rFonts w:ascii="Verdana" w:hAnsi="Verdana"/>
                <w:sz w:val="20"/>
              </w:rPr>
              <w:t xml:space="preserve">toimittama </w:t>
            </w:r>
            <w:proofErr w:type="spellStart"/>
            <w:r w:rsidR="009306F1" w:rsidRPr="0058720B">
              <w:rPr>
                <w:rFonts w:ascii="Verdana" w:hAnsi="Verdana"/>
                <w:sz w:val="20"/>
              </w:rPr>
              <w:t>Centrafik</w:t>
            </w:r>
            <w:proofErr w:type="spellEnd"/>
            <w:r w:rsidR="009306F1" w:rsidRPr="0058720B">
              <w:rPr>
                <w:rFonts w:ascii="Verdana" w:hAnsi="Verdana"/>
                <w:sz w:val="20"/>
              </w:rPr>
              <w:t>-järjestelmä.</w:t>
            </w:r>
            <w:r>
              <w:rPr>
                <w:rFonts w:ascii="Verdana" w:hAnsi="Verdana"/>
                <w:sz w:val="20"/>
              </w:rPr>
              <w:t xml:space="preserve"> Hankintapäätöksessä oli</w:t>
            </w:r>
            <w:r w:rsidR="009306F1" w:rsidRPr="0058720B">
              <w:rPr>
                <w:rFonts w:ascii="Verdana" w:hAnsi="Verdana"/>
                <w:sz w:val="20"/>
              </w:rPr>
              <w:t xml:space="preserve"> todettu, että </w:t>
            </w:r>
            <w:r>
              <w:rPr>
                <w:rFonts w:ascii="Verdana" w:hAnsi="Verdana"/>
                <w:sz w:val="20"/>
              </w:rPr>
              <w:t xml:space="preserve">hankintayksikkö </w:t>
            </w:r>
            <w:r w:rsidR="009306F1" w:rsidRPr="0058720B">
              <w:rPr>
                <w:rFonts w:ascii="Verdana" w:hAnsi="Verdana"/>
                <w:sz w:val="20"/>
              </w:rPr>
              <w:t xml:space="preserve">tilaa suorahankintana </w:t>
            </w:r>
            <w:r w:rsidR="007E1ECC">
              <w:rPr>
                <w:rFonts w:ascii="Verdana" w:hAnsi="Verdana"/>
                <w:sz w:val="20"/>
              </w:rPr>
              <w:t>valitulta tarjoajalta</w:t>
            </w:r>
            <w:r w:rsidR="009306F1" w:rsidRPr="0058720B">
              <w:rPr>
                <w:rFonts w:ascii="Verdana" w:hAnsi="Verdana"/>
                <w:sz w:val="20"/>
              </w:rPr>
              <w:t xml:space="preserve"> </w:t>
            </w:r>
            <w:proofErr w:type="spellStart"/>
            <w:r w:rsidR="009306F1" w:rsidRPr="0058720B">
              <w:rPr>
                <w:rFonts w:ascii="Verdana" w:hAnsi="Verdana"/>
                <w:sz w:val="20"/>
              </w:rPr>
              <w:t>Centrafik</w:t>
            </w:r>
            <w:proofErr w:type="spellEnd"/>
            <w:r w:rsidR="009306F1" w:rsidRPr="0058720B">
              <w:rPr>
                <w:rFonts w:ascii="Verdana" w:hAnsi="Verdana"/>
                <w:sz w:val="20"/>
              </w:rPr>
              <w:t>-järjestelmän päivityksen RMS-järjestelmäksi.</w:t>
            </w:r>
          </w:p>
          <w:p w14:paraId="047D973E" w14:textId="77777777" w:rsidR="0058720B" w:rsidRPr="0058720B" w:rsidRDefault="0058720B" w:rsidP="009306F1">
            <w:pPr>
              <w:jc w:val="both"/>
              <w:rPr>
                <w:rFonts w:ascii="Verdana" w:hAnsi="Verdana"/>
                <w:sz w:val="20"/>
              </w:rPr>
            </w:pPr>
          </w:p>
          <w:p w14:paraId="12AC910E" w14:textId="77777777" w:rsidR="0058720B" w:rsidRDefault="0058720B" w:rsidP="009306F1">
            <w:pPr>
              <w:jc w:val="both"/>
              <w:rPr>
                <w:rFonts w:ascii="Verdana" w:hAnsi="Verdana"/>
                <w:sz w:val="20"/>
              </w:rPr>
            </w:pPr>
            <w:r>
              <w:rPr>
                <w:rFonts w:ascii="Verdana" w:hAnsi="Verdana"/>
                <w:sz w:val="20"/>
              </w:rPr>
              <w:t>MAO katsoi</w:t>
            </w:r>
            <w:r w:rsidR="009306F1" w:rsidRPr="0058720B">
              <w:rPr>
                <w:rFonts w:ascii="Verdana" w:hAnsi="Verdana"/>
                <w:sz w:val="20"/>
              </w:rPr>
              <w:t>, etteivät hankintalain 28 §:n 1 momentin säännöksen soveltamisen edellytykset ol</w:t>
            </w:r>
            <w:r>
              <w:rPr>
                <w:rFonts w:ascii="Verdana" w:hAnsi="Verdana"/>
                <w:sz w:val="20"/>
              </w:rPr>
              <w:t>le</w:t>
            </w:r>
            <w:r w:rsidR="009306F1" w:rsidRPr="0058720B">
              <w:rPr>
                <w:rFonts w:ascii="Verdana" w:hAnsi="Verdana"/>
                <w:sz w:val="20"/>
              </w:rPr>
              <w:t>e</w:t>
            </w:r>
            <w:r>
              <w:rPr>
                <w:rFonts w:ascii="Verdana" w:hAnsi="Verdana"/>
                <w:sz w:val="20"/>
              </w:rPr>
              <w:t>t</w:t>
            </w:r>
            <w:r w:rsidR="009306F1" w:rsidRPr="0058720B">
              <w:rPr>
                <w:rFonts w:ascii="Verdana" w:hAnsi="Verdana"/>
                <w:sz w:val="20"/>
              </w:rPr>
              <w:t xml:space="preserve"> täyttyneet. </w:t>
            </w:r>
            <w:r>
              <w:rPr>
                <w:rFonts w:ascii="Verdana" w:hAnsi="Verdana"/>
                <w:sz w:val="20"/>
              </w:rPr>
              <w:t xml:space="preserve">Kyseessä </w:t>
            </w:r>
            <w:r w:rsidR="009306F1" w:rsidRPr="0058720B">
              <w:rPr>
                <w:rFonts w:ascii="Verdana" w:hAnsi="Verdana"/>
                <w:sz w:val="20"/>
              </w:rPr>
              <w:t xml:space="preserve">ei ollut alkuperäisen toimittajan kanssa tehtävä tavarahankinnan lisätilaus, vaan </w:t>
            </w:r>
            <w:r w:rsidR="009306F1" w:rsidRPr="0058720B">
              <w:rPr>
                <w:rFonts w:ascii="Verdana" w:hAnsi="Verdana"/>
                <w:b/>
                <w:sz w:val="20"/>
              </w:rPr>
              <w:t>vanhan järjestelmän korvaaminen kokonaan uudella järjestelmällä</w:t>
            </w:r>
            <w:r w:rsidR="009306F1" w:rsidRPr="0058720B">
              <w:rPr>
                <w:rFonts w:ascii="Verdana" w:hAnsi="Verdana"/>
                <w:sz w:val="20"/>
              </w:rPr>
              <w:t xml:space="preserve">. </w:t>
            </w:r>
          </w:p>
          <w:p w14:paraId="07458555" w14:textId="77777777" w:rsidR="0058720B" w:rsidRDefault="0058720B" w:rsidP="009306F1">
            <w:pPr>
              <w:jc w:val="both"/>
              <w:rPr>
                <w:rFonts w:ascii="Verdana" w:hAnsi="Verdana"/>
                <w:sz w:val="20"/>
              </w:rPr>
            </w:pPr>
          </w:p>
          <w:p w14:paraId="417E3963" w14:textId="4DEB4032" w:rsidR="009306F1" w:rsidRPr="0058720B" w:rsidRDefault="0058720B" w:rsidP="009306F1">
            <w:pPr>
              <w:jc w:val="both"/>
              <w:rPr>
                <w:rFonts w:ascii="Verdana" w:hAnsi="Verdana"/>
                <w:sz w:val="20"/>
              </w:rPr>
            </w:pPr>
            <w:r>
              <w:rPr>
                <w:rFonts w:ascii="Verdana" w:hAnsi="Verdana"/>
                <w:sz w:val="20"/>
              </w:rPr>
              <w:t>Hankintayksikkö ei ollut</w:t>
            </w:r>
            <w:r w:rsidR="009306F1" w:rsidRPr="0058720B">
              <w:rPr>
                <w:rFonts w:ascii="Verdana" w:hAnsi="Verdana"/>
                <w:sz w:val="20"/>
              </w:rPr>
              <w:t xml:space="preserve"> myöskään yksilöinyt toimittajan vaihtamisesta aiheutuvaa yhteensopimattomuutta tai siitä aiheutuvia suhteettoman suuria teknisiä vaikeuksia käytössä ja kunnossapidossa. Järjestelmätoimitukseen sisältyvän ohjelmiston ylläpitoa koskevan sopimuksen voimassao</w:t>
            </w:r>
            <w:r w:rsidR="00553650">
              <w:rPr>
                <w:rFonts w:ascii="Verdana" w:hAnsi="Verdana"/>
                <w:sz w:val="20"/>
              </w:rPr>
              <w:t>loaika oli</w:t>
            </w:r>
            <w:r w:rsidR="009306F1" w:rsidRPr="0058720B">
              <w:rPr>
                <w:rFonts w:ascii="Verdana" w:hAnsi="Verdana"/>
                <w:sz w:val="20"/>
              </w:rPr>
              <w:t xml:space="preserve"> lisäksi ollut pidempi kuin mitä hankintalain 2</w:t>
            </w:r>
            <w:r>
              <w:rPr>
                <w:rFonts w:ascii="Verdana" w:hAnsi="Verdana"/>
                <w:sz w:val="20"/>
              </w:rPr>
              <w:t>8 §:n 1 momentissa on sallittu.</w:t>
            </w:r>
          </w:p>
        </w:tc>
      </w:tr>
      <w:tr w:rsidR="00142D27" w:rsidRPr="000D632E" w14:paraId="0A6D6FED" w14:textId="77777777" w:rsidTr="00647AE9">
        <w:tc>
          <w:tcPr>
            <w:tcW w:w="6997" w:type="dxa"/>
          </w:tcPr>
          <w:p w14:paraId="6465C17A" w14:textId="77777777" w:rsidR="00142D27" w:rsidRPr="000D632E" w:rsidRDefault="00142D27" w:rsidP="000D632E">
            <w:pPr>
              <w:jc w:val="both"/>
              <w:rPr>
                <w:rFonts w:ascii="Verdana" w:hAnsi="Verdana"/>
                <w:b/>
                <w:sz w:val="20"/>
                <w:szCs w:val="20"/>
              </w:rPr>
            </w:pPr>
          </w:p>
        </w:tc>
        <w:tc>
          <w:tcPr>
            <w:tcW w:w="6997" w:type="dxa"/>
          </w:tcPr>
          <w:p w14:paraId="02340624" w14:textId="6FE4B199" w:rsidR="00142D27" w:rsidRPr="008C3C8F" w:rsidRDefault="00D0769D" w:rsidP="00142D27">
            <w:pPr>
              <w:jc w:val="both"/>
              <w:rPr>
                <w:rFonts w:ascii="Verdana" w:hAnsi="Verdana"/>
                <w:sz w:val="20"/>
                <w:szCs w:val="20"/>
              </w:rPr>
            </w:pPr>
            <w:hyperlink r:id="rId20" w:history="1">
              <w:r w:rsidR="00142D27" w:rsidRPr="008C3C8F">
                <w:rPr>
                  <w:rStyle w:val="Hyperlinkki"/>
                  <w:rFonts w:ascii="Verdana" w:hAnsi="Verdana"/>
                  <w:sz w:val="20"/>
                  <w:szCs w:val="20"/>
                </w:rPr>
                <w:t>MAO:189/14</w:t>
              </w:r>
            </w:hyperlink>
          </w:p>
          <w:p w14:paraId="5843EAE0" w14:textId="2B265936" w:rsidR="00142D27" w:rsidRPr="008C3C8F" w:rsidRDefault="00142D27" w:rsidP="00142D27">
            <w:pPr>
              <w:jc w:val="both"/>
              <w:rPr>
                <w:rFonts w:ascii="Verdana" w:hAnsi="Verdana"/>
                <w:sz w:val="20"/>
                <w:szCs w:val="20"/>
              </w:rPr>
            </w:pPr>
          </w:p>
          <w:p w14:paraId="79393E5C" w14:textId="114A1CCE" w:rsidR="00142D27" w:rsidRPr="008C3C8F" w:rsidRDefault="008C3C8F" w:rsidP="00142D27">
            <w:pPr>
              <w:jc w:val="both"/>
              <w:rPr>
                <w:rFonts w:ascii="Verdana" w:hAnsi="Verdana"/>
                <w:sz w:val="20"/>
                <w:szCs w:val="20"/>
              </w:rPr>
            </w:pPr>
            <w:r>
              <w:rPr>
                <w:rFonts w:ascii="Verdana" w:hAnsi="Verdana"/>
                <w:sz w:val="20"/>
                <w:szCs w:val="20"/>
              </w:rPr>
              <w:t>Hankintayksikkö oli</w:t>
            </w:r>
            <w:r w:rsidR="00142D27" w:rsidRPr="008C3C8F">
              <w:rPr>
                <w:rFonts w:ascii="Verdana" w:hAnsi="Verdana"/>
                <w:sz w:val="20"/>
                <w:szCs w:val="20"/>
              </w:rPr>
              <w:t xml:space="preserve"> 16.8.2012 päättänyt toteuttaa tulostuksen hallintapalvelun sisältäen opiskelijatulostuspalvelun sekä tulostusoikeuksien myyntipalvelun</w:t>
            </w:r>
            <w:r>
              <w:rPr>
                <w:rFonts w:ascii="Verdana" w:hAnsi="Verdana"/>
                <w:sz w:val="20"/>
                <w:szCs w:val="20"/>
              </w:rPr>
              <w:t xml:space="preserve"> opiskelijoille suorahankintana.</w:t>
            </w:r>
          </w:p>
          <w:p w14:paraId="7BE3036E" w14:textId="42AB2B1F" w:rsidR="00142D27" w:rsidRPr="008C3C8F" w:rsidRDefault="00142D27" w:rsidP="00142D27">
            <w:pPr>
              <w:jc w:val="both"/>
              <w:rPr>
                <w:rFonts w:ascii="Verdana" w:hAnsi="Verdana"/>
                <w:sz w:val="20"/>
                <w:szCs w:val="20"/>
              </w:rPr>
            </w:pPr>
          </w:p>
          <w:p w14:paraId="3C693784" w14:textId="2BFE6C45" w:rsidR="00142D27" w:rsidRPr="008C3C8F" w:rsidRDefault="008C3C8F" w:rsidP="00142D27">
            <w:pPr>
              <w:jc w:val="both"/>
              <w:rPr>
                <w:rFonts w:ascii="Verdana" w:hAnsi="Verdana"/>
                <w:sz w:val="20"/>
                <w:szCs w:val="20"/>
              </w:rPr>
            </w:pPr>
            <w:r>
              <w:rPr>
                <w:rFonts w:ascii="Verdana" w:hAnsi="Verdana"/>
                <w:sz w:val="20"/>
                <w:szCs w:val="20"/>
              </w:rPr>
              <w:t>Hankintayksikkö oli</w:t>
            </w:r>
            <w:r w:rsidR="00142D27" w:rsidRPr="008C3C8F">
              <w:rPr>
                <w:rFonts w:ascii="Verdana" w:hAnsi="Verdana"/>
                <w:sz w:val="20"/>
                <w:szCs w:val="20"/>
              </w:rPr>
              <w:t xml:space="preserve"> markkinaoikeudessa esittänyt, että suorahankinnan kohteena olevassa syyskuussa 2012</w:t>
            </w:r>
            <w:r>
              <w:rPr>
                <w:rFonts w:ascii="Verdana" w:hAnsi="Verdana"/>
                <w:sz w:val="20"/>
                <w:szCs w:val="20"/>
              </w:rPr>
              <w:t xml:space="preserve"> päivätyssä </w:t>
            </w:r>
            <w:r>
              <w:rPr>
                <w:rFonts w:ascii="Verdana" w:hAnsi="Verdana"/>
                <w:sz w:val="20"/>
                <w:szCs w:val="20"/>
              </w:rPr>
              <w:lastRenderedPageBreak/>
              <w:t>puitesopimuksessa oli</w:t>
            </w:r>
            <w:r w:rsidR="00142D27" w:rsidRPr="008C3C8F">
              <w:rPr>
                <w:rFonts w:ascii="Verdana" w:hAnsi="Verdana"/>
                <w:sz w:val="20"/>
                <w:szCs w:val="20"/>
              </w:rPr>
              <w:t xml:space="preserve"> ollut kysymys lisähankinnasta joulukuussa 2010 solmittuun sopimukseen.</w:t>
            </w:r>
          </w:p>
          <w:p w14:paraId="3DDA257E" w14:textId="6D7661B3" w:rsidR="00142D27" w:rsidRDefault="00142D27" w:rsidP="00142D27">
            <w:pPr>
              <w:jc w:val="both"/>
              <w:rPr>
                <w:rFonts w:ascii="Verdana" w:hAnsi="Verdana"/>
                <w:sz w:val="20"/>
                <w:szCs w:val="20"/>
              </w:rPr>
            </w:pPr>
          </w:p>
          <w:p w14:paraId="718F0A3C" w14:textId="62AD1FE1" w:rsidR="008C3C8F" w:rsidRDefault="008C3C8F" w:rsidP="00142D27">
            <w:pPr>
              <w:jc w:val="both"/>
              <w:rPr>
                <w:rFonts w:ascii="Verdana" w:hAnsi="Verdana"/>
                <w:b/>
                <w:sz w:val="20"/>
                <w:szCs w:val="20"/>
              </w:rPr>
            </w:pPr>
            <w:proofErr w:type="spellStart"/>
            <w:r>
              <w:rPr>
                <w:rFonts w:ascii="Verdana" w:hAnsi="Verdana"/>
                <w:b/>
                <w:sz w:val="20"/>
                <w:szCs w:val="20"/>
              </w:rPr>
              <w:t>MAO:n</w:t>
            </w:r>
            <w:proofErr w:type="spellEnd"/>
            <w:r>
              <w:rPr>
                <w:rFonts w:ascii="Verdana" w:hAnsi="Verdana"/>
                <w:b/>
                <w:sz w:val="20"/>
                <w:szCs w:val="20"/>
              </w:rPr>
              <w:t xml:space="preserve"> ratkaisu</w:t>
            </w:r>
          </w:p>
          <w:p w14:paraId="26ACF519" w14:textId="77777777" w:rsidR="008C3C8F" w:rsidRPr="008C3C8F" w:rsidRDefault="008C3C8F" w:rsidP="00142D27">
            <w:pPr>
              <w:jc w:val="both"/>
              <w:rPr>
                <w:rFonts w:ascii="Verdana" w:hAnsi="Verdana"/>
                <w:b/>
                <w:sz w:val="20"/>
                <w:szCs w:val="20"/>
              </w:rPr>
            </w:pPr>
          </w:p>
          <w:p w14:paraId="2B839779" w14:textId="49556310" w:rsidR="00142D27" w:rsidRPr="008C3C8F" w:rsidRDefault="008C3C8F" w:rsidP="00142D27">
            <w:pPr>
              <w:jc w:val="both"/>
              <w:rPr>
                <w:rFonts w:ascii="Verdana" w:hAnsi="Verdana"/>
                <w:sz w:val="20"/>
                <w:szCs w:val="20"/>
              </w:rPr>
            </w:pPr>
            <w:r>
              <w:rPr>
                <w:rFonts w:ascii="Verdana" w:hAnsi="Verdana"/>
                <w:sz w:val="20"/>
                <w:szCs w:val="20"/>
              </w:rPr>
              <w:t>MAO totesi</w:t>
            </w:r>
            <w:r w:rsidR="00142D27" w:rsidRPr="008C3C8F">
              <w:rPr>
                <w:rFonts w:ascii="Verdana" w:hAnsi="Verdana"/>
                <w:sz w:val="20"/>
                <w:szCs w:val="20"/>
              </w:rPr>
              <w:t>, että hankintayksikön vuonna 2010</w:t>
            </w:r>
            <w:r>
              <w:rPr>
                <w:rFonts w:ascii="Verdana" w:hAnsi="Verdana"/>
                <w:sz w:val="20"/>
                <w:szCs w:val="20"/>
              </w:rPr>
              <w:t xml:space="preserve"> solmiman sopimuksen kohteena oli</w:t>
            </w:r>
            <w:r w:rsidR="00142D27" w:rsidRPr="008C3C8F">
              <w:rPr>
                <w:rFonts w:ascii="Verdana" w:hAnsi="Verdana"/>
                <w:sz w:val="20"/>
                <w:szCs w:val="20"/>
              </w:rPr>
              <w:t xml:space="preserve"> ollut hankintayksikön opetus- ja tutkimustoimintaan liittyvät julkaisu- ja painotoiminnan kokonaispalvelut kaikille hankintayksikön eri toimintayksiköille</w:t>
            </w:r>
            <w:r w:rsidR="00781B82">
              <w:rPr>
                <w:rFonts w:ascii="Verdana" w:hAnsi="Verdana"/>
                <w:sz w:val="20"/>
                <w:szCs w:val="20"/>
              </w:rPr>
              <w:t>.</w:t>
            </w:r>
          </w:p>
          <w:p w14:paraId="61A2C534" w14:textId="77777777" w:rsidR="008C3C8F" w:rsidRDefault="008C3C8F" w:rsidP="00142D27">
            <w:pPr>
              <w:jc w:val="both"/>
              <w:rPr>
                <w:rFonts w:ascii="Verdana" w:hAnsi="Verdana"/>
                <w:sz w:val="20"/>
                <w:szCs w:val="20"/>
              </w:rPr>
            </w:pPr>
          </w:p>
          <w:p w14:paraId="359EA7CE" w14:textId="3C1E0B20" w:rsidR="00142D27" w:rsidRPr="008C3C8F" w:rsidRDefault="008C3C8F" w:rsidP="00142D27">
            <w:pPr>
              <w:jc w:val="both"/>
              <w:rPr>
                <w:rFonts w:ascii="Verdana" w:hAnsi="Verdana"/>
                <w:sz w:val="20"/>
                <w:szCs w:val="20"/>
              </w:rPr>
            </w:pPr>
            <w:r>
              <w:rPr>
                <w:rFonts w:ascii="Verdana" w:hAnsi="Verdana"/>
                <w:sz w:val="20"/>
                <w:szCs w:val="20"/>
              </w:rPr>
              <w:t>Hankintayksikkö oli esittänyt</w:t>
            </w:r>
            <w:r w:rsidR="00142D27" w:rsidRPr="008C3C8F">
              <w:rPr>
                <w:rFonts w:ascii="Verdana" w:hAnsi="Verdana"/>
                <w:sz w:val="20"/>
                <w:szCs w:val="20"/>
              </w:rPr>
              <w:t xml:space="preserve"> </w:t>
            </w:r>
            <w:proofErr w:type="spellStart"/>
            <w:r>
              <w:rPr>
                <w:rFonts w:ascii="Verdana" w:hAnsi="Verdana"/>
                <w:sz w:val="20"/>
                <w:szCs w:val="20"/>
              </w:rPr>
              <w:t>MAO:ssa</w:t>
            </w:r>
            <w:proofErr w:type="spellEnd"/>
            <w:r w:rsidR="00142D27" w:rsidRPr="008C3C8F">
              <w:rPr>
                <w:rFonts w:ascii="Verdana" w:hAnsi="Verdana"/>
                <w:sz w:val="20"/>
                <w:szCs w:val="20"/>
              </w:rPr>
              <w:t>, että syyskuussa 2012 päivätyn puitesopimuksen arv</w:t>
            </w:r>
            <w:r>
              <w:rPr>
                <w:rFonts w:ascii="Verdana" w:hAnsi="Verdana"/>
                <w:sz w:val="20"/>
                <w:szCs w:val="20"/>
              </w:rPr>
              <w:t>o oli</w:t>
            </w:r>
            <w:r w:rsidR="00142D27" w:rsidRPr="008C3C8F">
              <w:rPr>
                <w:rFonts w:ascii="Verdana" w:hAnsi="Verdana"/>
                <w:sz w:val="20"/>
                <w:szCs w:val="20"/>
              </w:rPr>
              <w:t xml:space="preserve"> ollut enemmän kuin puolet joulukuussa 2010 allekirjoitetun sopimuksen arvosta. Näin ollen kyseessä olevaan hankintamenettelyyn </w:t>
            </w:r>
            <w:r w:rsidR="00781B82">
              <w:rPr>
                <w:rFonts w:ascii="Verdana" w:hAnsi="Verdana"/>
                <w:sz w:val="20"/>
                <w:szCs w:val="20"/>
              </w:rPr>
              <w:t>ei ollut</w:t>
            </w:r>
            <w:r w:rsidR="00142D27" w:rsidRPr="008C3C8F">
              <w:rPr>
                <w:rFonts w:ascii="Verdana" w:hAnsi="Verdana"/>
                <w:sz w:val="20"/>
                <w:szCs w:val="20"/>
              </w:rPr>
              <w:t xml:space="preserve"> voitu soveltaa hankintalain 28 §:n 2 momentin mukaista suorahankintaperustetta.</w:t>
            </w:r>
          </w:p>
          <w:p w14:paraId="6BE9859F" w14:textId="77777777" w:rsidR="00E11988" w:rsidRPr="008C3C8F" w:rsidRDefault="00E11988" w:rsidP="00142D27">
            <w:pPr>
              <w:jc w:val="both"/>
              <w:rPr>
                <w:rFonts w:ascii="Verdana" w:hAnsi="Verdana"/>
                <w:sz w:val="20"/>
                <w:szCs w:val="20"/>
              </w:rPr>
            </w:pPr>
          </w:p>
          <w:p w14:paraId="2EBC574A" w14:textId="75B4EFB1" w:rsidR="00142D27" w:rsidRPr="008C3C8F" w:rsidRDefault="00781B82" w:rsidP="00CC2769">
            <w:pPr>
              <w:jc w:val="both"/>
              <w:rPr>
                <w:rFonts w:ascii="Verdana" w:hAnsi="Verdana"/>
                <w:sz w:val="20"/>
                <w:szCs w:val="20"/>
              </w:rPr>
            </w:pPr>
            <w:r>
              <w:rPr>
                <w:rFonts w:ascii="Verdana" w:hAnsi="Verdana"/>
                <w:sz w:val="20"/>
                <w:szCs w:val="20"/>
              </w:rPr>
              <w:t>MAO</w:t>
            </w:r>
            <w:r w:rsidR="00142D27" w:rsidRPr="008C3C8F">
              <w:rPr>
                <w:rFonts w:ascii="Verdana" w:hAnsi="Verdana"/>
                <w:sz w:val="20"/>
                <w:szCs w:val="20"/>
              </w:rPr>
              <w:t xml:space="preserve"> </w:t>
            </w:r>
            <w:r>
              <w:rPr>
                <w:rFonts w:ascii="Verdana" w:hAnsi="Verdana"/>
                <w:sz w:val="20"/>
                <w:szCs w:val="20"/>
              </w:rPr>
              <w:t xml:space="preserve">totesi </w:t>
            </w:r>
            <w:r w:rsidR="00142D27" w:rsidRPr="008C3C8F">
              <w:rPr>
                <w:rFonts w:ascii="Verdana" w:hAnsi="Verdana"/>
                <w:sz w:val="20"/>
                <w:szCs w:val="20"/>
              </w:rPr>
              <w:t>lisäksi, että hankintayksikkö ei ole kyseessä olevassa asiassa es</w:t>
            </w:r>
            <w:r>
              <w:rPr>
                <w:rFonts w:ascii="Verdana" w:hAnsi="Verdana"/>
                <w:sz w:val="20"/>
                <w:szCs w:val="20"/>
              </w:rPr>
              <w:t>ittänyt,</w:t>
            </w:r>
            <w:r w:rsidR="00142D27" w:rsidRPr="008C3C8F">
              <w:rPr>
                <w:rFonts w:ascii="Verdana" w:hAnsi="Verdana"/>
                <w:sz w:val="20"/>
                <w:szCs w:val="20"/>
              </w:rPr>
              <w:t xml:space="preserve"> että joulukuussa 2010 allekirjoitetun palveluhankintasopimuksen osalta olisi hankintalain 28 §:n 3 momentin mukaisesti julkaistu hankintailmoitus, jossa olisi muun ohella mainittu mahdollisesta myöhemmästä suorahankinnasta ja että syyskuussa 2012 allekirjoitetun sopimuksen ennakoitu arvo olisi otettu edellä mainitun säännöksen mukaisesti huomioon laskettaessa joulukuussa 2010 allekirjoitetun sopimuksen kokonaisarvoa. Näin ollen asiaan ei ole voitu soveltaa hankintalain 28 §:n 3 momentin mukaista suorahankintaperustetta.</w:t>
            </w:r>
          </w:p>
        </w:tc>
      </w:tr>
      <w:tr w:rsidR="004E6D13" w:rsidRPr="000D632E" w14:paraId="3ADBE5B9" w14:textId="77777777" w:rsidTr="00647AE9">
        <w:tc>
          <w:tcPr>
            <w:tcW w:w="6997" w:type="dxa"/>
          </w:tcPr>
          <w:p w14:paraId="1B43815F" w14:textId="6E5C3138" w:rsidR="006225AB" w:rsidRDefault="006225AB" w:rsidP="000D632E">
            <w:pPr>
              <w:jc w:val="both"/>
              <w:rPr>
                <w:rFonts w:ascii="Verdana" w:hAnsi="Verdana"/>
                <w:sz w:val="20"/>
                <w:szCs w:val="20"/>
              </w:rPr>
            </w:pPr>
          </w:p>
          <w:p w14:paraId="3078CC14" w14:textId="5D1A63EE" w:rsidR="00102935" w:rsidRPr="000D632E" w:rsidRDefault="00102935" w:rsidP="000D632E">
            <w:pPr>
              <w:jc w:val="both"/>
              <w:rPr>
                <w:rFonts w:ascii="Verdana" w:hAnsi="Verdana"/>
                <w:sz w:val="20"/>
                <w:szCs w:val="20"/>
              </w:rPr>
            </w:pPr>
          </w:p>
        </w:tc>
        <w:tc>
          <w:tcPr>
            <w:tcW w:w="6997" w:type="dxa"/>
          </w:tcPr>
          <w:p w14:paraId="7B9ED953" w14:textId="77777777" w:rsidR="004E6D13" w:rsidRDefault="00D0769D" w:rsidP="000D632E">
            <w:pPr>
              <w:jc w:val="both"/>
              <w:rPr>
                <w:rFonts w:ascii="Verdana" w:hAnsi="Verdana"/>
                <w:sz w:val="20"/>
                <w:szCs w:val="20"/>
              </w:rPr>
            </w:pPr>
            <w:hyperlink r:id="rId21" w:history="1">
              <w:r w:rsidR="006B17CA" w:rsidRPr="006B17CA">
                <w:rPr>
                  <w:rStyle w:val="Hyperlinkki"/>
                  <w:rFonts w:ascii="Verdana" w:hAnsi="Verdana"/>
                  <w:sz w:val="20"/>
                  <w:szCs w:val="20"/>
                </w:rPr>
                <w:t>MAO:309/13</w:t>
              </w:r>
            </w:hyperlink>
          </w:p>
          <w:p w14:paraId="34524ECF" w14:textId="46CA7CDA" w:rsidR="006B17CA" w:rsidRDefault="006B17CA" w:rsidP="000D632E">
            <w:pPr>
              <w:jc w:val="both"/>
              <w:rPr>
                <w:rFonts w:ascii="Verdana" w:hAnsi="Verdana"/>
                <w:sz w:val="20"/>
                <w:szCs w:val="20"/>
              </w:rPr>
            </w:pPr>
          </w:p>
          <w:p w14:paraId="61248B57" w14:textId="77B1BE55" w:rsidR="005578FC" w:rsidRDefault="005578FC" w:rsidP="000D632E">
            <w:pPr>
              <w:jc w:val="both"/>
              <w:rPr>
                <w:rFonts w:ascii="Verdana" w:hAnsi="Verdana"/>
                <w:b/>
                <w:sz w:val="20"/>
                <w:szCs w:val="20"/>
              </w:rPr>
            </w:pPr>
            <w:r>
              <w:rPr>
                <w:rFonts w:ascii="Verdana" w:hAnsi="Verdana"/>
                <w:b/>
                <w:sz w:val="20"/>
                <w:szCs w:val="20"/>
              </w:rPr>
              <w:t>Taustaa</w:t>
            </w:r>
          </w:p>
          <w:p w14:paraId="78DFAFBF" w14:textId="77777777" w:rsidR="005578FC" w:rsidRPr="005578FC" w:rsidRDefault="005578FC" w:rsidP="000D632E">
            <w:pPr>
              <w:jc w:val="both"/>
              <w:rPr>
                <w:rFonts w:ascii="Verdana" w:hAnsi="Verdana"/>
                <w:b/>
                <w:sz w:val="20"/>
                <w:szCs w:val="20"/>
              </w:rPr>
            </w:pPr>
          </w:p>
          <w:p w14:paraId="3A09357A" w14:textId="5693DCF0" w:rsidR="008A0167" w:rsidRPr="006B17CA" w:rsidRDefault="006B17CA" w:rsidP="006B17CA">
            <w:pPr>
              <w:jc w:val="both"/>
              <w:rPr>
                <w:rFonts w:ascii="Verdana" w:hAnsi="Verdana"/>
                <w:sz w:val="20"/>
                <w:szCs w:val="20"/>
              </w:rPr>
            </w:pPr>
            <w:r w:rsidRPr="006B17CA">
              <w:rPr>
                <w:rFonts w:ascii="Verdana" w:hAnsi="Verdana"/>
                <w:sz w:val="20"/>
                <w:szCs w:val="20"/>
              </w:rPr>
              <w:t xml:space="preserve">Hankintayksikkö oli hankkinut opetustoimen kuljetuspalveluja </w:t>
            </w:r>
            <w:proofErr w:type="gramStart"/>
            <w:r w:rsidRPr="006B17CA">
              <w:rPr>
                <w:rFonts w:ascii="Verdana" w:hAnsi="Verdana"/>
                <w:sz w:val="20"/>
                <w:szCs w:val="20"/>
              </w:rPr>
              <w:t>suorahankintana</w:t>
            </w:r>
            <w:proofErr w:type="gramEnd"/>
            <w:r w:rsidRPr="006B17CA">
              <w:rPr>
                <w:rFonts w:ascii="Verdana" w:hAnsi="Verdana"/>
                <w:sz w:val="20"/>
                <w:szCs w:val="20"/>
              </w:rPr>
              <w:t xml:space="preserve"> sillä perusteella, että kyseessä oli palvelujen lisätilaus. Aiemmin tilattuja kuljetuspalveluita oli jatkettu uudelle lu</w:t>
            </w:r>
            <w:r w:rsidR="005578FC">
              <w:rPr>
                <w:rFonts w:ascii="Verdana" w:hAnsi="Verdana"/>
                <w:sz w:val="20"/>
                <w:szCs w:val="20"/>
              </w:rPr>
              <w:t>kuvuodelle.</w:t>
            </w:r>
          </w:p>
          <w:p w14:paraId="7EAD5E5C" w14:textId="77777777" w:rsidR="008A0167" w:rsidRDefault="008A0167" w:rsidP="006B17CA">
            <w:pPr>
              <w:jc w:val="both"/>
              <w:rPr>
                <w:rFonts w:ascii="Verdana" w:hAnsi="Verdana"/>
                <w:sz w:val="20"/>
                <w:szCs w:val="20"/>
              </w:rPr>
            </w:pPr>
          </w:p>
          <w:p w14:paraId="50011601" w14:textId="2A322E8A" w:rsidR="008A0167" w:rsidRPr="008A0167" w:rsidRDefault="008A0167" w:rsidP="006B17CA">
            <w:pPr>
              <w:jc w:val="both"/>
              <w:rPr>
                <w:rFonts w:ascii="Verdana" w:hAnsi="Verdana"/>
                <w:b/>
                <w:sz w:val="20"/>
                <w:szCs w:val="20"/>
              </w:rPr>
            </w:pPr>
            <w:proofErr w:type="spellStart"/>
            <w:r>
              <w:rPr>
                <w:rFonts w:ascii="Verdana" w:hAnsi="Verdana"/>
                <w:b/>
                <w:sz w:val="20"/>
                <w:szCs w:val="20"/>
              </w:rPr>
              <w:t>MAO:n</w:t>
            </w:r>
            <w:proofErr w:type="spellEnd"/>
            <w:r>
              <w:rPr>
                <w:rFonts w:ascii="Verdana" w:hAnsi="Verdana"/>
                <w:b/>
                <w:sz w:val="20"/>
                <w:szCs w:val="20"/>
              </w:rPr>
              <w:t xml:space="preserve"> ratkaisu</w:t>
            </w:r>
          </w:p>
          <w:p w14:paraId="380FD3DC" w14:textId="77777777" w:rsidR="008A0167" w:rsidRDefault="008A0167" w:rsidP="006B17CA">
            <w:pPr>
              <w:jc w:val="both"/>
              <w:rPr>
                <w:rFonts w:ascii="Verdana" w:hAnsi="Verdana"/>
                <w:sz w:val="20"/>
                <w:szCs w:val="20"/>
              </w:rPr>
            </w:pPr>
          </w:p>
          <w:p w14:paraId="2539F0E9" w14:textId="62C0959D" w:rsidR="006B17CA" w:rsidRPr="00C31C1C" w:rsidRDefault="006B17CA" w:rsidP="006B17CA">
            <w:pPr>
              <w:jc w:val="both"/>
              <w:rPr>
                <w:rFonts w:ascii="Verdana" w:hAnsi="Verdana"/>
                <w:sz w:val="20"/>
                <w:szCs w:val="20"/>
              </w:rPr>
            </w:pPr>
            <w:r w:rsidRPr="006B17CA">
              <w:rPr>
                <w:rFonts w:ascii="Verdana" w:hAnsi="Verdana"/>
                <w:sz w:val="20"/>
                <w:szCs w:val="20"/>
              </w:rPr>
              <w:t xml:space="preserve">MAO totesi, ettei kyseessä ollut hankintalain 28.3 §:n mukainen suorahankinta, koska alkuperäisen hankinnan hankintailmoituksessa </w:t>
            </w:r>
            <w:r w:rsidRPr="008A0167">
              <w:rPr>
                <w:rFonts w:ascii="Verdana" w:hAnsi="Verdana"/>
                <w:sz w:val="20"/>
                <w:szCs w:val="20"/>
              </w:rPr>
              <w:t>ei ollut</w:t>
            </w:r>
            <w:r w:rsidRPr="006B17CA">
              <w:rPr>
                <w:rFonts w:ascii="Verdana" w:hAnsi="Verdana"/>
                <w:sz w:val="20"/>
                <w:szCs w:val="20"/>
              </w:rPr>
              <w:t xml:space="preserve"> mainittu mahdollisesta myöhemmästä suorahankinnasta uudeksi lukuvuodeksi.</w:t>
            </w:r>
          </w:p>
        </w:tc>
      </w:tr>
      <w:tr w:rsidR="00CA6A43" w:rsidRPr="000D632E" w14:paraId="5AAAF248" w14:textId="77777777" w:rsidTr="00647AE9">
        <w:tc>
          <w:tcPr>
            <w:tcW w:w="6997" w:type="dxa"/>
          </w:tcPr>
          <w:p w14:paraId="63EF88D3" w14:textId="77777777" w:rsidR="00CA6A43" w:rsidRDefault="00CA6A43" w:rsidP="000D632E">
            <w:pPr>
              <w:jc w:val="both"/>
              <w:rPr>
                <w:rFonts w:ascii="Verdana" w:hAnsi="Verdana"/>
                <w:sz w:val="20"/>
                <w:szCs w:val="20"/>
              </w:rPr>
            </w:pPr>
          </w:p>
        </w:tc>
        <w:tc>
          <w:tcPr>
            <w:tcW w:w="6997" w:type="dxa"/>
          </w:tcPr>
          <w:p w14:paraId="6AE4F383" w14:textId="77777777" w:rsidR="00CA6A43" w:rsidRPr="00093CDD" w:rsidRDefault="00D0769D" w:rsidP="00CA6A43">
            <w:pPr>
              <w:jc w:val="both"/>
              <w:rPr>
                <w:rFonts w:ascii="Verdana" w:hAnsi="Verdana"/>
                <w:sz w:val="20"/>
              </w:rPr>
            </w:pPr>
            <w:hyperlink r:id="rId22" w:history="1">
              <w:r w:rsidR="00CA6A43" w:rsidRPr="00093CDD">
                <w:rPr>
                  <w:rStyle w:val="Hyperlinkki"/>
                  <w:rFonts w:ascii="Verdana" w:hAnsi="Verdana"/>
                  <w:sz w:val="20"/>
                </w:rPr>
                <w:t>MAO:519-520/11</w:t>
              </w:r>
            </w:hyperlink>
          </w:p>
          <w:p w14:paraId="6C5EC965" w14:textId="77777777" w:rsidR="00CA6A43" w:rsidRDefault="00CA6A43" w:rsidP="00CA6A43">
            <w:pPr>
              <w:jc w:val="both"/>
              <w:rPr>
                <w:rFonts w:ascii="Verdana" w:hAnsi="Verdana"/>
                <w:sz w:val="20"/>
              </w:rPr>
            </w:pPr>
          </w:p>
          <w:p w14:paraId="0B611B9C" w14:textId="77777777" w:rsidR="00CA6A43" w:rsidRDefault="00CA6A43" w:rsidP="00CA6A43">
            <w:pPr>
              <w:jc w:val="both"/>
              <w:rPr>
                <w:rFonts w:ascii="Verdana" w:hAnsi="Verdana"/>
                <w:b/>
                <w:sz w:val="20"/>
              </w:rPr>
            </w:pPr>
            <w:r>
              <w:rPr>
                <w:rFonts w:ascii="Verdana" w:hAnsi="Verdana"/>
                <w:b/>
                <w:sz w:val="20"/>
              </w:rPr>
              <w:t>Taustaa</w:t>
            </w:r>
          </w:p>
          <w:p w14:paraId="7366508F" w14:textId="77777777" w:rsidR="006E255E" w:rsidRDefault="006E255E" w:rsidP="00CA6A43">
            <w:pPr>
              <w:jc w:val="both"/>
              <w:rPr>
                <w:rFonts w:ascii="Verdana" w:hAnsi="Verdana"/>
                <w:b/>
                <w:sz w:val="20"/>
              </w:rPr>
            </w:pPr>
          </w:p>
          <w:p w14:paraId="2D155B58" w14:textId="0D28DB00" w:rsidR="00CA6A43" w:rsidRDefault="00CA6A43" w:rsidP="00CA6A43">
            <w:pPr>
              <w:jc w:val="both"/>
              <w:rPr>
                <w:rFonts w:ascii="Verdana" w:hAnsi="Verdana"/>
                <w:sz w:val="20"/>
              </w:rPr>
            </w:pPr>
            <w:r>
              <w:rPr>
                <w:rFonts w:ascii="Verdana" w:hAnsi="Verdana"/>
                <w:sz w:val="20"/>
              </w:rPr>
              <w:t>H</w:t>
            </w:r>
            <w:r w:rsidRPr="00093CDD">
              <w:rPr>
                <w:rFonts w:ascii="Verdana" w:hAnsi="Verdana"/>
                <w:sz w:val="20"/>
              </w:rPr>
              <w:t>ankintamen</w:t>
            </w:r>
            <w:r>
              <w:rPr>
                <w:rFonts w:ascii="Verdana" w:hAnsi="Verdana"/>
                <w:sz w:val="20"/>
              </w:rPr>
              <w:t>ettely oli</w:t>
            </w:r>
            <w:r w:rsidRPr="00093CDD">
              <w:rPr>
                <w:rFonts w:ascii="Verdana" w:hAnsi="Verdana"/>
                <w:sz w:val="20"/>
              </w:rPr>
              <w:t xml:space="preserve"> aloitettu 20.6.2006. </w:t>
            </w:r>
            <w:r>
              <w:rPr>
                <w:rFonts w:ascii="Verdana" w:hAnsi="Verdana"/>
                <w:sz w:val="20"/>
              </w:rPr>
              <w:t>Hankintaan sovellettiin</w:t>
            </w:r>
            <w:r w:rsidRPr="00093CDD">
              <w:rPr>
                <w:rFonts w:ascii="Verdana" w:hAnsi="Verdana"/>
                <w:sz w:val="20"/>
              </w:rPr>
              <w:t xml:space="preserve"> siten </w:t>
            </w:r>
            <w:r>
              <w:rPr>
                <w:rFonts w:ascii="Verdana" w:hAnsi="Verdana"/>
                <w:sz w:val="20"/>
              </w:rPr>
              <w:t>vuoden 1992 hankintalakia</w:t>
            </w:r>
            <w:r w:rsidRPr="00093CDD">
              <w:rPr>
                <w:rFonts w:ascii="Verdana" w:hAnsi="Verdana"/>
                <w:sz w:val="20"/>
              </w:rPr>
              <w:t xml:space="preserve"> sekä sen nojalla </w:t>
            </w:r>
            <w:r>
              <w:rPr>
                <w:rFonts w:ascii="Verdana" w:hAnsi="Verdana"/>
                <w:sz w:val="20"/>
              </w:rPr>
              <w:t>annettua hankinta-asetusta.</w:t>
            </w:r>
          </w:p>
          <w:p w14:paraId="275E0AB9" w14:textId="77777777" w:rsidR="00CA6A43" w:rsidRPr="00093CDD" w:rsidRDefault="00CA6A43" w:rsidP="00CA6A43">
            <w:pPr>
              <w:jc w:val="both"/>
              <w:rPr>
                <w:rFonts w:ascii="Verdana" w:hAnsi="Verdana"/>
                <w:sz w:val="20"/>
              </w:rPr>
            </w:pPr>
          </w:p>
          <w:p w14:paraId="5DCE272F" w14:textId="4D611D3F" w:rsidR="00CA6A43" w:rsidRPr="004E5DB3" w:rsidRDefault="00CA6A43" w:rsidP="00CA6A43">
            <w:pPr>
              <w:jc w:val="both"/>
              <w:rPr>
                <w:rFonts w:ascii="Verdana" w:hAnsi="Verdana"/>
                <w:sz w:val="20"/>
              </w:rPr>
            </w:pPr>
            <w:r w:rsidRPr="00093CDD">
              <w:rPr>
                <w:rFonts w:ascii="Verdana" w:hAnsi="Verdana"/>
                <w:sz w:val="20"/>
              </w:rPr>
              <w:t xml:space="preserve">Hankinta-asetuksen 14 §:n 7 kohdan mukaan option käyttöön perustuva suorahankinta </w:t>
            </w:r>
            <w:r w:rsidR="006E255E">
              <w:rPr>
                <w:rFonts w:ascii="Verdana" w:hAnsi="Verdana"/>
                <w:sz w:val="20"/>
              </w:rPr>
              <w:t xml:space="preserve">voitiin </w:t>
            </w:r>
            <w:r w:rsidRPr="00093CDD">
              <w:rPr>
                <w:rFonts w:ascii="Verdana" w:hAnsi="Verdana"/>
                <w:sz w:val="20"/>
              </w:rPr>
              <w:t>tehdä kolmen vuoden kuluessa alkuperäisen hankintasopimuksen tekemisestä edellyttäen, että myös muut mainitussa säännöksessä asetetut edellytyks</w:t>
            </w:r>
            <w:r>
              <w:rPr>
                <w:rFonts w:ascii="Verdana" w:hAnsi="Verdana"/>
                <w:sz w:val="20"/>
              </w:rPr>
              <w:t>et täyttyvät. Hankintasopimus oli</w:t>
            </w:r>
            <w:r w:rsidRPr="00093CDD">
              <w:rPr>
                <w:rFonts w:ascii="Verdana" w:hAnsi="Verdana"/>
                <w:sz w:val="20"/>
              </w:rPr>
              <w:t xml:space="preserve"> tehty 29.5.2007.</w:t>
            </w:r>
          </w:p>
          <w:p w14:paraId="48C216F5" w14:textId="77777777" w:rsidR="00CA6A43" w:rsidRDefault="00CA6A43" w:rsidP="00CA6A43">
            <w:pPr>
              <w:jc w:val="both"/>
              <w:rPr>
                <w:rFonts w:ascii="Verdana" w:hAnsi="Verdana"/>
                <w:sz w:val="20"/>
              </w:rPr>
            </w:pPr>
          </w:p>
          <w:p w14:paraId="58F78986" w14:textId="1353D4FA" w:rsidR="00CA6A43" w:rsidRDefault="00CA6A43" w:rsidP="00CA6A43">
            <w:pPr>
              <w:jc w:val="both"/>
              <w:rPr>
                <w:rFonts w:ascii="Verdana" w:hAnsi="Verdana"/>
                <w:sz w:val="20"/>
              </w:rPr>
            </w:pPr>
            <w:r w:rsidRPr="00093CDD">
              <w:rPr>
                <w:rFonts w:ascii="Verdana" w:hAnsi="Verdana"/>
                <w:sz w:val="20"/>
              </w:rPr>
              <w:t>Hankintayksiköiden p</w:t>
            </w:r>
            <w:r w:rsidR="002E23CD">
              <w:rPr>
                <w:rFonts w:ascii="Verdana" w:hAnsi="Verdana"/>
                <w:sz w:val="20"/>
              </w:rPr>
              <w:t xml:space="preserve">äätökset </w:t>
            </w:r>
            <w:proofErr w:type="gramStart"/>
            <w:r w:rsidR="002E23CD">
              <w:rPr>
                <w:rFonts w:ascii="Verdana" w:hAnsi="Verdana"/>
                <w:sz w:val="20"/>
              </w:rPr>
              <w:t>jatkaa</w:t>
            </w:r>
            <w:proofErr w:type="gramEnd"/>
            <w:r>
              <w:rPr>
                <w:rFonts w:ascii="Verdana" w:hAnsi="Verdana"/>
                <w:sz w:val="20"/>
              </w:rPr>
              <w:t xml:space="preserve"> sopimuskautta oli</w:t>
            </w:r>
            <w:r w:rsidRPr="00093CDD">
              <w:rPr>
                <w:rFonts w:ascii="Verdana" w:hAnsi="Verdana"/>
                <w:sz w:val="20"/>
              </w:rPr>
              <w:t xml:space="preserve"> tehty </w:t>
            </w:r>
            <w:r w:rsidRPr="004E5DB3">
              <w:rPr>
                <w:rFonts w:ascii="Verdana" w:hAnsi="Verdana"/>
                <w:b/>
                <w:sz w:val="20"/>
              </w:rPr>
              <w:t>13.5.2011</w:t>
            </w:r>
            <w:r w:rsidRPr="00093CDD">
              <w:rPr>
                <w:rFonts w:ascii="Verdana" w:hAnsi="Verdana"/>
                <w:sz w:val="20"/>
              </w:rPr>
              <w:t xml:space="preserve"> ja </w:t>
            </w:r>
            <w:r w:rsidRPr="004E5DB3">
              <w:rPr>
                <w:rFonts w:ascii="Verdana" w:hAnsi="Verdana"/>
                <w:b/>
                <w:sz w:val="20"/>
              </w:rPr>
              <w:t>17.5.2011</w:t>
            </w:r>
            <w:r w:rsidR="002E23CD">
              <w:rPr>
                <w:rFonts w:ascii="Verdana" w:hAnsi="Verdana"/>
                <w:sz w:val="20"/>
              </w:rPr>
              <w:t>,</w:t>
            </w:r>
            <w:r w:rsidRPr="00093CDD">
              <w:rPr>
                <w:rFonts w:ascii="Verdana" w:hAnsi="Verdana"/>
                <w:sz w:val="20"/>
              </w:rPr>
              <w:t xml:space="preserve"> el</w:t>
            </w:r>
            <w:r w:rsidRPr="002E23CD">
              <w:rPr>
                <w:rFonts w:ascii="Verdana" w:hAnsi="Verdana"/>
                <w:sz w:val="20"/>
              </w:rPr>
              <w:t>i</w:t>
            </w:r>
            <w:r w:rsidRPr="00093CDD">
              <w:rPr>
                <w:rFonts w:ascii="Verdana" w:hAnsi="Verdana"/>
                <w:sz w:val="20"/>
              </w:rPr>
              <w:t xml:space="preserve"> yli kolme vuotta hankintasopimuksen allekirjoittamisen jälkeen. </w:t>
            </w:r>
          </w:p>
          <w:p w14:paraId="2B63AF53" w14:textId="77777777" w:rsidR="00CA6A43" w:rsidRDefault="00CA6A43" w:rsidP="00CA6A43">
            <w:pPr>
              <w:jc w:val="both"/>
              <w:rPr>
                <w:rFonts w:ascii="Verdana" w:hAnsi="Verdana"/>
                <w:sz w:val="20"/>
              </w:rPr>
            </w:pPr>
          </w:p>
          <w:p w14:paraId="2A49CE3B" w14:textId="77777777" w:rsidR="00CA6A43" w:rsidRDefault="00CA6A43" w:rsidP="00CA6A43">
            <w:pPr>
              <w:jc w:val="both"/>
              <w:rPr>
                <w:rFonts w:ascii="Verdana" w:hAnsi="Verdana"/>
                <w:b/>
                <w:sz w:val="20"/>
              </w:rPr>
            </w:pPr>
            <w:proofErr w:type="spellStart"/>
            <w:r>
              <w:rPr>
                <w:rFonts w:ascii="Verdana" w:hAnsi="Verdana"/>
                <w:b/>
                <w:sz w:val="20"/>
              </w:rPr>
              <w:t>MAO:n</w:t>
            </w:r>
            <w:proofErr w:type="spellEnd"/>
            <w:r>
              <w:rPr>
                <w:rFonts w:ascii="Verdana" w:hAnsi="Verdana"/>
                <w:b/>
                <w:sz w:val="20"/>
              </w:rPr>
              <w:t xml:space="preserve"> ratkaisu</w:t>
            </w:r>
          </w:p>
          <w:p w14:paraId="6C79876C" w14:textId="77777777" w:rsidR="00CA6A43" w:rsidRPr="004E5DB3" w:rsidRDefault="00CA6A43" w:rsidP="00CA6A43">
            <w:pPr>
              <w:jc w:val="both"/>
              <w:rPr>
                <w:rFonts w:ascii="Verdana" w:hAnsi="Verdana"/>
                <w:b/>
                <w:sz w:val="20"/>
              </w:rPr>
            </w:pPr>
          </w:p>
          <w:p w14:paraId="0D4D19D9" w14:textId="77777777" w:rsidR="00CA6A43" w:rsidRPr="00093CDD" w:rsidRDefault="00CA6A43" w:rsidP="00CA6A43">
            <w:pPr>
              <w:jc w:val="both"/>
              <w:rPr>
                <w:rFonts w:ascii="Verdana" w:hAnsi="Verdana"/>
                <w:sz w:val="20"/>
              </w:rPr>
            </w:pPr>
            <w:r>
              <w:rPr>
                <w:rFonts w:ascii="Verdana" w:hAnsi="Verdana"/>
                <w:sz w:val="20"/>
              </w:rPr>
              <w:t>MAO katsoi</w:t>
            </w:r>
            <w:r w:rsidRPr="00093CDD">
              <w:rPr>
                <w:rFonts w:ascii="Verdana" w:hAnsi="Verdana"/>
                <w:sz w:val="20"/>
              </w:rPr>
              <w:t>, että hank</w:t>
            </w:r>
            <w:r>
              <w:rPr>
                <w:rFonts w:ascii="Verdana" w:hAnsi="Verdana"/>
                <w:sz w:val="20"/>
              </w:rPr>
              <w:t>intayksiköt olivat</w:t>
            </w:r>
            <w:r w:rsidRPr="00093CDD">
              <w:rPr>
                <w:rFonts w:ascii="Verdana" w:hAnsi="Verdana"/>
                <w:sz w:val="20"/>
              </w:rPr>
              <w:t xml:space="preserve"> menetelleet virheellisesti päättäessään hankkia vakuutuspalvelut suorahankintana</w:t>
            </w:r>
            <w:r>
              <w:rPr>
                <w:rFonts w:ascii="Verdana" w:hAnsi="Verdana"/>
                <w:sz w:val="20"/>
              </w:rPr>
              <w:t xml:space="preserve"> yli kolme vuotta hankintasopimuksen allekirjoittamisen jälkeen</w:t>
            </w:r>
            <w:r w:rsidRPr="00093CDD">
              <w:rPr>
                <w:rFonts w:ascii="Verdana" w:hAnsi="Verdana"/>
                <w:sz w:val="20"/>
              </w:rPr>
              <w:t>.</w:t>
            </w:r>
          </w:p>
          <w:p w14:paraId="61E5449D" w14:textId="77777777" w:rsidR="00CA6A43" w:rsidRPr="00093CDD" w:rsidRDefault="00CA6A43" w:rsidP="00CA6A43">
            <w:pPr>
              <w:jc w:val="both"/>
              <w:rPr>
                <w:rFonts w:ascii="Verdana" w:hAnsi="Verdana"/>
                <w:sz w:val="20"/>
              </w:rPr>
            </w:pPr>
          </w:p>
          <w:p w14:paraId="7760E12A" w14:textId="101D902C" w:rsidR="00CA6A43" w:rsidRDefault="00CA6A43" w:rsidP="00CA6A43">
            <w:pPr>
              <w:jc w:val="both"/>
            </w:pPr>
            <w:r w:rsidRPr="00093CDD">
              <w:rPr>
                <w:rFonts w:ascii="Verdana" w:hAnsi="Verdana"/>
                <w:sz w:val="20"/>
              </w:rPr>
              <w:t xml:space="preserve">Edellä todetun johdosta </w:t>
            </w:r>
            <w:r w:rsidR="000A1B04">
              <w:rPr>
                <w:rFonts w:ascii="Verdana" w:hAnsi="Verdana"/>
                <w:sz w:val="20"/>
              </w:rPr>
              <w:t>MAO katsoi</w:t>
            </w:r>
            <w:r w:rsidRPr="00093CDD">
              <w:rPr>
                <w:rFonts w:ascii="Verdana" w:hAnsi="Verdana"/>
                <w:sz w:val="20"/>
              </w:rPr>
              <w:t>, että suorahankinnan muiden edellytysten täyttymisen arvioint</w:t>
            </w:r>
            <w:r>
              <w:rPr>
                <w:rFonts w:ascii="Verdana" w:hAnsi="Verdana"/>
                <w:sz w:val="20"/>
              </w:rPr>
              <w:t>i ei ole tässä asiassa tarpeen.</w:t>
            </w:r>
          </w:p>
        </w:tc>
      </w:tr>
      <w:tr w:rsidR="006B17CA" w:rsidRPr="000D632E" w14:paraId="2B7402CB" w14:textId="77777777" w:rsidTr="00647AE9">
        <w:tc>
          <w:tcPr>
            <w:tcW w:w="6997" w:type="dxa"/>
          </w:tcPr>
          <w:p w14:paraId="6F2A4526" w14:textId="77777777" w:rsidR="006B17CA" w:rsidRDefault="006B17CA" w:rsidP="000D632E">
            <w:pPr>
              <w:jc w:val="both"/>
              <w:rPr>
                <w:rFonts w:ascii="Verdana" w:hAnsi="Verdana"/>
                <w:sz w:val="20"/>
                <w:szCs w:val="20"/>
              </w:rPr>
            </w:pPr>
          </w:p>
        </w:tc>
        <w:tc>
          <w:tcPr>
            <w:tcW w:w="6997" w:type="dxa"/>
          </w:tcPr>
          <w:p w14:paraId="40C0293C" w14:textId="77777777" w:rsidR="006B17CA" w:rsidRDefault="00D0769D" w:rsidP="000D632E">
            <w:pPr>
              <w:jc w:val="both"/>
              <w:rPr>
                <w:rFonts w:ascii="Verdana" w:hAnsi="Verdana"/>
                <w:sz w:val="20"/>
                <w:szCs w:val="20"/>
              </w:rPr>
            </w:pPr>
            <w:hyperlink r:id="rId23" w:history="1">
              <w:r w:rsidR="006B17CA" w:rsidRPr="006B17CA">
                <w:rPr>
                  <w:rStyle w:val="Hyperlinkki"/>
                  <w:rFonts w:ascii="Verdana" w:hAnsi="Verdana"/>
                  <w:sz w:val="20"/>
                  <w:szCs w:val="20"/>
                </w:rPr>
                <w:t>MAO:243/11</w:t>
              </w:r>
            </w:hyperlink>
          </w:p>
          <w:p w14:paraId="3574FCE2" w14:textId="5AC4DBCE" w:rsidR="006B17CA" w:rsidRDefault="006B17CA" w:rsidP="000D632E">
            <w:pPr>
              <w:jc w:val="both"/>
              <w:rPr>
                <w:rFonts w:ascii="Verdana" w:hAnsi="Verdana"/>
                <w:sz w:val="20"/>
                <w:szCs w:val="20"/>
              </w:rPr>
            </w:pPr>
          </w:p>
          <w:p w14:paraId="4D314281" w14:textId="05D6028E" w:rsidR="00ED20B6" w:rsidRPr="00ED20B6" w:rsidRDefault="00ED20B6" w:rsidP="000D632E">
            <w:pPr>
              <w:jc w:val="both"/>
              <w:rPr>
                <w:rFonts w:ascii="Verdana" w:hAnsi="Verdana"/>
                <w:b/>
                <w:sz w:val="20"/>
                <w:szCs w:val="20"/>
              </w:rPr>
            </w:pPr>
            <w:r>
              <w:rPr>
                <w:rFonts w:ascii="Verdana" w:hAnsi="Verdana"/>
                <w:b/>
                <w:sz w:val="20"/>
                <w:szCs w:val="20"/>
              </w:rPr>
              <w:t>Taustaa</w:t>
            </w:r>
          </w:p>
          <w:p w14:paraId="6FF4FF85" w14:textId="77777777" w:rsidR="00ED20B6" w:rsidRDefault="00ED20B6" w:rsidP="000D632E">
            <w:pPr>
              <w:jc w:val="both"/>
              <w:rPr>
                <w:rFonts w:ascii="Verdana" w:hAnsi="Verdana"/>
                <w:sz w:val="20"/>
                <w:szCs w:val="20"/>
              </w:rPr>
            </w:pPr>
          </w:p>
          <w:p w14:paraId="7228CECD" w14:textId="77777777" w:rsidR="00ED20B6" w:rsidRDefault="006B17CA" w:rsidP="006B17CA">
            <w:pPr>
              <w:jc w:val="both"/>
              <w:rPr>
                <w:rFonts w:ascii="Verdana" w:hAnsi="Verdana"/>
                <w:sz w:val="20"/>
                <w:szCs w:val="20"/>
              </w:rPr>
            </w:pPr>
            <w:r w:rsidRPr="006B17CA">
              <w:rPr>
                <w:rFonts w:ascii="Verdana" w:hAnsi="Verdana"/>
                <w:sz w:val="20"/>
                <w:szCs w:val="20"/>
              </w:rPr>
              <w:t xml:space="preserve">Hankintayksikkö oli tehnyt suorahankinnan koulukuljetuspalveluista. Hankintayksikön mukaan kyseessä oli aiempiin hankintasopimuksiin liittyvä lisätilaus. </w:t>
            </w:r>
          </w:p>
          <w:p w14:paraId="4B0F9FA6" w14:textId="77777777" w:rsidR="00ED20B6" w:rsidRDefault="00ED20B6" w:rsidP="006B17CA">
            <w:pPr>
              <w:jc w:val="both"/>
              <w:rPr>
                <w:rFonts w:ascii="Verdana" w:hAnsi="Verdana"/>
                <w:sz w:val="20"/>
                <w:szCs w:val="20"/>
              </w:rPr>
            </w:pPr>
          </w:p>
          <w:p w14:paraId="284C0F73" w14:textId="7C634B8B" w:rsidR="006B17CA" w:rsidRPr="006B17CA" w:rsidRDefault="006B17CA" w:rsidP="006B17CA">
            <w:pPr>
              <w:jc w:val="both"/>
              <w:rPr>
                <w:rFonts w:ascii="Verdana" w:hAnsi="Verdana"/>
                <w:sz w:val="20"/>
                <w:szCs w:val="20"/>
              </w:rPr>
            </w:pPr>
            <w:r w:rsidRPr="006B17CA">
              <w:rPr>
                <w:rFonts w:ascii="Verdana" w:hAnsi="Verdana"/>
                <w:sz w:val="20"/>
                <w:szCs w:val="20"/>
              </w:rPr>
              <w:t>Hankintayksikön mukaan lisätilaus oli jouduttu tekemään, koska k</w:t>
            </w:r>
            <w:r w:rsidR="00ED20B6">
              <w:rPr>
                <w:rFonts w:ascii="Verdana" w:hAnsi="Verdana"/>
                <w:sz w:val="20"/>
                <w:szCs w:val="20"/>
              </w:rPr>
              <w:t xml:space="preserve">oulun rakennustöistä johtuen </w:t>
            </w:r>
            <w:r w:rsidRPr="006B17CA">
              <w:rPr>
                <w:rFonts w:ascii="Verdana" w:hAnsi="Verdana"/>
                <w:sz w:val="20"/>
                <w:szCs w:val="20"/>
              </w:rPr>
              <w:t>alkuperäisen kilpailutuksen jälkeen jouduttiin järjestämään tilapäisiä kuljetuspalveluja oppilaille toiseen kouluun.</w:t>
            </w:r>
          </w:p>
          <w:p w14:paraId="08F96ED8" w14:textId="73488D19" w:rsidR="006B17CA" w:rsidRDefault="006B17CA" w:rsidP="006B17CA">
            <w:pPr>
              <w:jc w:val="both"/>
              <w:rPr>
                <w:rFonts w:ascii="Verdana" w:hAnsi="Verdana"/>
                <w:sz w:val="20"/>
                <w:szCs w:val="20"/>
              </w:rPr>
            </w:pPr>
          </w:p>
          <w:p w14:paraId="4CBC23CB" w14:textId="2C0354FC" w:rsidR="00ED20B6" w:rsidRPr="00ED20B6" w:rsidRDefault="00ED20B6" w:rsidP="006B17CA">
            <w:pPr>
              <w:jc w:val="both"/>
              <w:rPr>
                <w:rFonts w:ascii="Verdana" w:hAnsi="Verdana"/>
                <w:b/>
                <w:sz w:val="20"/>
                <w:szCs w:val="20"/>
              </w:rPr>
            </w:pPr>
            <w:proofErr w:type="spellStart"/>
            <w:r>
              <w:rPr>
                <w:rFonts w:ascii="Verdana" w:hAnsi="Verdana"/>
                <w:b/>
                <w:sz w:val="20"/>
                <w:szCs w:val="20"/>
              </w:rPr>
              <w:t>MAO:n</w:t>
            </w:r>
            <w:proofErr w:type="spellEnd"/>
            <w:r>
              <w:rPr>
                <w:rFonts w:ascii="Verdana" w:hAnsi="Verdana"/>
                <w:b/>
                <w:sz w:val="20"/>
                <w:szCs w:val="20"/>
              </w:rPr>
              <w:t xml:space="preserve"> ratkaisu</w:t>
            </w:r>
          </w:p>
          <w:p w14:paraId="43E6E4D5" w14:textId="77777777" w:rsidR="00ED20B6" w:rsidRDefault="006B17CA" w:rsidP="006B17CA">
            <w:pPr>
              <w:jc w:val="both"/>
              <w:rPr>
                <w:rFonts w:ascii="Verdana" w:hAnsi="Verdana"/>
                <w:sz w:val="20"/>
                <w:szCs w:val="20"/>
              </w:rPr>
            </w:pPr>
            <w:proofErr w:type="spellStart"/>
            <w:r w:rsidRPr="006B17CA">
              <w:rPr>
                <w:rFonts w:ascii="Verdana" w:hAnsi="Verdana"/>
                <w:sz w:val="20"/>
                <w:szCs w:val="20"/>
              </w:rPr>
              <w:t>MAO:n</w:t>
            </w:r>
            <w:proofErr w:type="spellEnd"/>
            <w:r w:rsidRPr="006B17CA">
              <w:rPr>
                <w:rFonts w:ascii="Verdana" w:hAnsi="Verdana"/>
                <w:sz w:val="20"/>
                <w:szCs w:val="20"/>
              </w:rPr>
              <w:t xml:space="preserve"> mukaan lisätilauksessa oli ollut kysymys </w:t>
            </w:r>
            <w:r w:rsidRPr="00ED20B6">
              <w:rPr>
                <w:rFonts w:ascii="Verdana" w:hAnsi="Verdana"/>
                <w:b/>
                <w:sz w:val="20"/>
                <w:szCs w:val="20"/>
              </w:rPr>
              <w:t>kuljetustarpeesta uudelle reitille</w:t>
            </w:r>
            <w:r w:rsidRPr="006B17CA">
              <w:rPr>
                <w:rFonts w:ascii="Verdana" w:hAnsi="Verdana"/>
                <w:sz w:val="20"/>
                <w:szCs w:val="20"/>
              </w:rPr>
              <w:t xml:space="preserve">, minkä lisäksi kuljetuspalveluiden oppilasmäärä oli </w:t>
            </w:r>
            <w:r w:rsidRPr="00ED20B6">
              <w:rPr>
                <w:rFonts w:ascii="Verdana" w:hAnsi="Verdana"/>
                <w:b/>
                <w:sz w:val="20"/>
                <w:szCs w:val="20"/>
              </w:rPr>
              <w:t>merkittävästi uudelleen mitoitettu</w:t>
            </w:r>
            <w:r w:rsidRPr="006B17CA">
              <w:rPr>
                <w:rFonts w:ascii="Verdana" w:hAnsi="Verdana"/>
                <w:sz w:val="20"/>
                <w:szCs w:val="20"/>
              </w:rPr>
              <w:t xml:space="preserve">. </w:t>
            </w:r>
          </w:p>
          <w:p w14:paraId="06A1F788" w14:textId="77777777" w:rsidR="00ED20B6" w:rsidRDefault="00ED20B6" w:rsidP="006B17CA">
            <w:pPr>
              <w:jc w:val="both"/>
              <w:rPr>
                <w:rFonts w:ascii="Verdana" w:hAnsi="Verdana"/>
                <w:sz w:val="20"/>
                <w:szCs w:val="20"/>
              </w:rPr>
            </w:pPr>
          </w:p>
          <w:p w14:paraId="43ABA8B5" w14:textId="0243D271" w:rsidR="006B17CA" w:rsidRPr="00ED20B6" w:rsidRDefault="006B17CA" w:rsidP="000D632E">
            <w:pPr>
              <w:jc w:val="both"/>
              <w:rPr>
                <w:rFonts w:ascii="Verdana" w:hAnsi="Verdana"/>
                <w:sz w:val="20"/>
                <w:szCs w:val="20"/>
              </w:rPr>
            </w:pPr>
            <w:proofErr w:type="spellStart"/>
            <w:r w:rsidRPr="006B17CA">
              <w:rPr>
                <w:rFonts w:ascii="Verdana" w:hAnsi="Verdana"/>
                <w:sz w:val="20"/>
                <w:szCs w:val="20"/>
              </w:rPr>
              <w:t>MAO:n</w:t>
            </w:r>
            <w:proofErr w:type="spellEnd"/>
            <w:r w:rsidRPr="006B17CA">
              <w:rPr>
                <w:rFonts w:ascii="Verdana" w:hAnsi="Verdana"/>
                <w:sz w:val="20"/>
                <w:szCs w:val="20"/>
              </w:rPr>
              <w:t xml:space="preserve"> mukaan ei näin ollen voitu katsoa, että kyseessä olisi ollut hankintalain 28.3 §:n mukainen lisätilaus, joka </w:t>
            </w:r>
            <w:r w:rsidRPr="00ED20B6">
              <w:rPr>
                <w:rFonts w:ascii="Verdana" w:hAnsi="Verdana"/>
                <w:b/>
                <w:sz w:val="20"/>
                <w:szCs w:val="20"/>
              </w:rPr>
              <w:t>vastaa</w:t>
            </w:r>
            <w:r w:rsidRPr="006B17CA">
              <w:rPr>
                <w:rFonts w:ascii="Verdana" w:hAnsi="Verdana"/>
                <w:sz w:val="20"/>
                <w:szCs w:val="20"/>
              </w:rPr>
              <w:t xml:space="preserve"> aiemmin </w:t>
            </w:r>
            <w:r w:rsidRPr="00ED20B6">
              <w:rPr>
                <w:rFonts w:ascii="Verdana" w:hAnsi="Verdana"/>
                <w:b/>
                <w:sz w:val="20"/>
                <w:szCs w:val="20"/>
              </w:rPr>
              <w:t>kilpailutettua palveluhankintaa</w:t>
            </w:r>
            <w:r w:rsidRPr="006B17CA">
              <w:rPr>
                <w:rFonts w:ascii="Verdana" w:hAnsi="Verdana"/>
                <w:sz w:val="20"/>
                <w:szCs w:val="20"/>
              </w:rPr>
              <w:t>. Alkuperäisessä hankintailmoituksessa ei myöskään ollut ilmoitettu mahdollisesta lisätilauksesta.</w:t>
            </w:r>
          </w:p>
        </w:tc>
      </w:tr>
      <w:tr w:rsidR="00CA6A43" w:rsidRPr="000D632E" w14:paraId="3F8339A8" w14:textId="77777777" w:rsidTr="00647AE9">
        <w:tc>
          <w:tcPr>
            <w:tcW w:w="6997" w:type="dxa"/>
          </w:tcPr>
          <w:p w14:paraId="0D19299B" w14:textId="77777777" w:rsidR="00CA6A43" w:rsidRDefault="00CA6A43" w:rsidP="000D632E">
            <w:pPr>
              <w:jc w:val="both"/>
              <w:rPr>
                <w:rFonts w:ascii="Verdana" w:hAnsi="Verdana"/>
                <w:sz w:val="20"/>
                <w:szCs w:val="20"/>
              </w:rPr>
            </w:pPr>
          </w:p>
        </w:tc>
        <w:tc>
          <w:tcPr>
            <w:tcW w:w="6997" w:type="dxa"/>
          </w:tcPr>
          <w:p w14:paraId="65C19CE1" w14:textId="77777777" w:rsidR="00CA6A43" w:rsidRPr="00093CDD" w:rsidRDefault="00D0769D" w:rsidP="00CA6A43">
            <w:pPr>
              <w:jc w:val="both"/>
              <w:rPr>
                <w:rFonts w:ascii="Verdana" w:hAnsi="Verdana"/>
                <w:sz w:val="20"/>
              </w:rPr>
            </w:pPr>
            <w:hyperlink r:id="rId24" w:history="1">
              <w:r w:rsidR="00CA6A43" w:rsidRPr="00093CDD">
                <w:rPr>
                  <w:rStyle w:val="Hyperlinkki"/>
                  <w:rFonts w:ascii="Verdana" w:hAnsi="Verdana"/>
                  <w:sz w:val="20"/>
                </w:rPr>
                <w:t>MAO:575/10</w:t>
              </w:r>
            </w:hyperlink>
          </w:p>
          <w:p w14:paraId="4FAC5541" w14:textId="77777777" w:rsidR="00CA6A43" w:rsidRDefault="00CA6A43" w:rsidP="00CA6A43">
            <w:pPr>
              <w:jc w:val="both"/>
              <w:rPr>
                <w:rFonts w:ascii="Verdana" w:hAnsi="Verdana"/>
                <w:sz w:val="20"/>
              </w:rPr>
            </w:pPr>
          </w:p>
          <w:p w14:paraId="214F7F93" w14:textId="77777777" w:rsidR="00CA6A43" w:rsidRPr="00093CDD" w:rsidRDefault="00CA6A43" w:rsidP="00CA6A43">
            <w:pPr>
              <w:jc w:val="both"/>
              <w:rPr>
                <w:rFonts w:ascii="Verdana" w:hAnsi="Verdana"/>
                <w:b/>
                <w:sz w:val="20"/>
              </w:rPr>
            </w:pPr>
            <w:r>
              <w:rPr>
                <w:rFonts w:ascii="Verdana" w:hAnsi="Verdana"/>
                <w:b/>
                <w:sz w:val="20"/>
              </w:rPr>
              <w:t>Taustaa</w:t>
            </w:r>
          </w:p>
          <w:p w14:paraId="01DDDF88" w14:textId="77777777" w:rsidR="00CA6A43" w:rsidRDefault="00CA6A43" w:rsidP="00CA6A43">
            <w:pPr>
              <w:jc w:val="both"/>
              <w:rPr>
                <w:rFonts w:ascii="Verdana" w:hAnsi="Verdana"/>
                <w:sz w:val="20"/>
              </w:rPr>
            </w:pPr>
          </w:p>
          <w:p w14:paraId="37D50F91" w14:textId="05FE673E" w:rsidR="00CA6A43" w:rsidRDefault="00C408B4" w:rsidP="00CA6A43">
            <w:pPr>
              <w:jc w:val="both"/>
              <w:rPr>
                <w:rFonts w:ascii="Verdana" w:hAnsi="Verdana"/>
                <w:sz w:val="20"/>
              </w:rPr>
            </w:pPr>
            <w:r>
              <w:rPr>
                <w:rFonts w:ascii="Verdana" w:hAnsi="Verdana"/>
                <w:sz w:val="20"/>
              </w:rPr>
              <w:t>Hankintayksikkö oli</w:t>
            </w:r>
            <w:r w:rsidR="00CA6A43">
              <w:rPr>
                <w:rFonts w:ascii="Verdana" w:hAnsi="Verdana"/>
                <w:sz w:val="20"/>
              </w:rPr>
              <w:t xml:space="preserve"> tehnyt suorahankintana vuokrasopimuksen kaivinkoneen hankkimisesta</w:t>
            </w:r>
            <w:r w:rsidR="00CA6A43" w:rsidRPr="00093CDD">
              <w:rPr>
                <w:rFonts w:ascii="Verdana" w:hAnsi="Verdana"/>
                <w:sz w:val="20"/>
              </w:rPr>
              <w:t xml:space="preserve">. </w:t>
            </w:r>
          </w:p>
          <w:p w14:paraId="03C2F923" w14:textId="77777777" w:rsidR="00CA6A43" w:rsidRPr="00093CDD" w:rsidRDefault="00CA6A43" w:rsidP="00CA6A43">
            <w:pPr>
              <w:jc w:val="both"/>
              <w:rPr>
                <w:rFonts w:ascii="Verdana" w:hAnsi="Verdana"/>
                <w:sz w:val="20"/>
              </w:rPr>
            </w:pPr>
          </w:p>
          <w:p w14:paraId="69DC5475" w14:textId="218238FB" w:rsidR="00CA6A43" w:rsidRDefault="00CA6A43" w:rsidP="00CA6A43">
            <w:pPr>
              <w:jc w:val="both"/>
              <w:rPr>
                <w:rFonts w:ascii="Verdana" w:hAnsi="Verdana"/>
                <w:sz w:val="20"/>
              </w:rPr>
            </w:pPr>
            <w:r w:rsidRPr="00093CDD">
              <w:rPr>
                <w:rFonts w:ascii="Verdana" w:hAnsi="Verdana"/>
                <w:sz w:val="20"/>
              </w:rPr>
              <w:t xml:space="preserve">Suorahankintapäätöksen mukaan hankintayksikkö ja pääurakoitsija </w:t>
            </w:r>
            <w:r>
              <w:rPr>
                <w:rFonts w:ascii="Verdana" w:hAnsi="Verdana"/>
                <w:sz w:val="20"/>
              </w:rPr>
              <w:t xml:space="preserve">olivat </w:t>
            </w:r>
            <w:r w:rsidRPr="00093CDD">
              <w:rPr>
                <w:rFonts w:ascii="Verdana" w:hAnsi="Verdana"/>
                <w:sz w:val="20"/>
              </w:rPr>
              <w:t>sopineet kaivinkoneen yhteiskäytöstä kalanviljelylaitoksen laajennushankkeen maanrakennustöissä.</w:t>
            </w:r>
          </w:p>
          <w:p w14:paraId="44A0F4CE" w14:textId="77777777" w:rsidR="00CA6A43" w:rsidRDefault="00CA6A43" w:rsidP="00CA6A43">
            <w:pPr>
              <w:jc w:val="both"/>
              <w:rPr>
                <w:rFonts w:ascii="Verdana" w:hAnsi="Verdana"/>
                <w:sz w:val="20"/>
              </w:rPr>
            </w:pPr>
          </w:p>
          <w:p w14:paraId="6DDC56AE" w14:textId="3561B3DF" w:rsidR="00CA6A43" w:rsidRDefault="00CA6A43" w:rsidP="00CA6A43">
            <w:pPr>
              <w:jc w:val="both"/>
              <w:rPr>
                <w:rFonts w:ascii="Verdana" w:hAnsi="Verdana"/>
                <w:sz w:val="20"/>
              </w:rPr>
            </w:pPr>
            <w:r>
              <w:rPr>
                <w:rFonts w:ascii="Verdana" w:hAnsi="Verdana"/>
                <w:sz w:val="20"/>
              </w:rPr>
              <w:lastRenderedPageBreak/>
              <w:t>Suorahankintapäätöksen</w:t>
            </w:r>
            <w:r w:rsidRPr="00093CDD">
              <w:rPr>
                <w:rFonts w:ascii="Verdana" w:hAnsi="Verdana"/>
                <w:sz w:val="20"/>
              </w:rPr>
              <w:t xml:space="preserve"> mukaan työkoneen yhteiskäyt</w:t>
            </w:r>
            <w:r w:rsidR="00DA4884">
              <w:rPr>
                <w:rFonts w:ascii="Verdana" w:hAnsi="Verdana"/>
                <w:sz w:val="20"/>
              </w:rPr>
              <w:t>tö oli</w:t>
            </w:r>
            <w:r w:rsidRPr="00093CDD">
              <w:rPr>
                <w:rFonts w:ascii="Verdana" w:hAnsi="Verdana"/>
                <w:sz w:val="20"/>
              </w:rPr>
              <w:t xml:space="preserve"> edullista tilaajien kannalta, kun kaivinkone voidaan työllistää tehokkaasti ja vältytään mahdollisilta seisokki- ja siirtokustannusten korvaamiselta. Lisäksi näin </w:t>
            </w:r>
            <w:r w:rsidR="008250C8">
              <w:rPr>
                <w:rFonts w:ascii="Verdana" w:hAnsi="Verdana"/>
                <w:sz w:val="20"/>
              </w:rPr>
              <w:t xml:space="preserve">voitiin </w:t>
            </w:r>
            <w:r w:rsidRPr="00093CDD">
              <w:rPr>
                <w:rFonts w:ascii="Verdana" w:hAnsi="Verdana"/>
                <w:sz w:val="20"/>
              </w:rPr>
              <w:t>turvata kaivinkoneen saatavuus laajennushankkeen eri osioissa maanrakennustöihin sesonkiaikana.</w:t>
            </w:r>
          </w:p>
          <w:p w14:paraId="38F634DE" w14:textId="77777777" w:rsidR="00CA6A43" w:rsidRDefault="00CA6A43" w:rsidP="00CA6A43">
            <w:pPr>
              <w:jc w:val="both"/>
              <w:rPr>
                <w:rFonts w:ascii="Verdana" w:hAnsi="Verdana"/>
                <w:sz w:val="20"/>
              </w:rPr>
            </w:pPr>
          </w:p>
          <w:p w14:paraId="5856F29A" w14:textId="77777777" w:rsidR="00CA6A43" w:rsidRPr="00093CDD" w:rsidRDefault="00CA6A43" w:rsidP="00CA6A43">
            <w:pPr>
              <w:jc w:val="both"/>
              <w:rPr>
                <w:rFonts w:ascii="Verdana" w:hAnsi="Verdana"/>
                <w:b/>
                <w:sz w:val="20"/>
              </w:rPr>
            </w:pPr>
            <w:proofErr w:type="spellStart"/>
            <w:r>
              <w:rPr>
                <w:rFonts w:ascii="Verdana" w:hAnsi="Verdana"/>
                <w:b/>
                <w:sz w:val="20"/>
              </w:rPr>
              <w:t>MAO:n</w:t>
            </w:r>
            <w:proofErr w:type="spellEnd"/>
            <w:r>
              <w:rPr>
                <w:rFonts w:ascii="Verdana" w:hAnsi="Verdana"/>
                <w:b/>
                <w:sz w:val="20"/>
              </w:rPr>
              <w:t xml:space="preserve"> ratkaisu</w:t>
            </w:r>
          </w:p>
          <w:p w14:paraId="1AA5E280" w14:textId="77777777" w:rsidR="00CA6A43" w:rsidRDefault="00CA6A43" w:rsidP="00CA6A43">
            <w:pPr>
              <w:jc w:val="both"/>
              <w:rPr>
                <w:rFonts w:ascii="Verdana" w:hAnsi="Verdana"/>
                <w:sz w:val="20"/>
              </w:rPr>
            </w:pPr>
          </w:p>
          <w:p w14:paraId="195DD363" w14:textId="00E057FF" w:rsidR="00CA6A43" w:rsidRDefault="00CA6A43" w:rsidP="00CA6A43">
            <w:pPr>
              <w:jc w:val="both"/>
            </w:pPr>
            <w:r>
              <w:rPr>
                <w:rFonts w:ascii="Verdana" w:hAnsi="Verdana"/>
                <w:sz w:val="20"/>
              </w:rPr>
              <w:t>MAO</w:t>
            </w:r>
            <w:r w:rsidRPr="00093CDD">
              <w:rPr>
                <w:rFonts w:ascii="Verdana" w:hAnsi="Verdana"/>
                <w:sz w:val="20"/>
              </w:rPr>
              <w:t xml:space="preserve"> </w:t>
            </w:r>
            <w:r>
              <w:rPr>
                <w:rFonts w:ascii="Verdana" w:hAnsi="Verdana"/>
                <w:sz w:val="20"/>
              </w:rPr>
              <w:t>katsoi</w:t>
            </w:r>
            <w:r w:rsidRPr="00093CDD">
              <w:rPr>
                <w:rFonts w:ascii="Verdana" w:hAnsi="Verdana"/>
                <w:sz w:val="20"/>
              </w:rPr>
              <w:t>, että suorahankinnalle ei ollut edellytyksiä. Hankintalain mukaisina edellytyksinä ei voida pitää hankintayksikön esittämiä edullisuuteen ja urakan toteuttavan kaivinkoneen s</w:t>
            </w:r>
            <w:r>
              <w:rPr>
                <w:rFonts w:ascii="Verdana" w:hAnsi="Verdana"/>
                <w:sz w:val="20"/>
              </w:rPr>
              <w:t>aatavuuteen liittyviä seikkoja eikä kaivinkoneen hankinnalla ollut lisätilaus-liityntää maanrakennusurakkaan.</w:t>
            </w:r>
          </w:p>
        </w:tc>
      </w:tr>
      <w:tr w:rsidR="006B17CA" w:rsidRPr="000D632E" w14:paraId="4C66EB80" w14:textId="77777777" w:rsidTr="00647AE9">
        <w:tc>
          <w:tcPr>
            <w:tcW w:w="6997" w:type="dxa"/>
          </w:tcPr>
          <w:p w14:paraId="0FE2CC96" w14:textId="77777777" w:rsidR="006B17CA" w:rsidRDefault="006B17CA" w:rsidP="000D632E">
            <w:pPr>
              <w:jc w:val="both"/>
              <w:rPr>
                <w:rFonts w:ascii="Verdana" w:hAnsi="Verdana"/>
                <w:sz w:val="20"/>
                <w:szCs w:val="20"/>
              </w:rPr>
            </w:pPr>
          </w:p>
        </w:tc>
        <w:tc>
          <w:tcPr>
            <w:tcW w:w="6997" w:type="dxa"/>
          </w:tcPr>
          <w:p w14:paraId="095E719B" w14:textId="792914F6" w:rsidR="006B17CA" w:rsidRDefault="00D0769D" w:rsidP="000D632E">
            <w:pPr>
              <w:jc w:val="both"/>
              <w:rPr>
                <w:rFonts w:ascii="Verdana" w:hAnsi="Verdana"/>
                <w:sz w:val="20"/>
                <w:szCs w:val="20"/>
              </w:rPr>
            </w:pPr>
            <w:hyperlink r:id="rId25" w:history="1">
              <w:r w:rsidR="006B17CA" w:rsidRPr="003B0E65">
                <w:rPr>
                  <w:rStyle w:val="Hyperlinkki"/>
                  <w:rFonts w:ascii="Verdana" w:hAnsi="Verdana"/>
                  <w:sz w:val="20"/>
                  <w:szCs w:val="20"/>
                </w:rPr>
                <w:t>MAO 551/10</w:t>
              </w:r>
            </w:hyperlink>
          </w:p>
          <w:p w14:paraId="2F22F776" w14:textId="00B8FD7A" w:rsidR="006B17CA" w:rsidRDefault="006B17CA" w:rsidP="000D632E">
            <w:pPr>
              <w:jc w:val="both"/>
              <w:rPr>
                <w:rFonts w:ascii="Verdana" w:hAnsi="Verdana"/>
                <w:sz w:val="20"/>
                <w:szCs w:val="20"/>
              </w:rPr>
            </w:pPr>
          </w:p>
          <w:p w14:paraId="53E0E326" w14:textId="204A5B00" w:rsidR="00FA6690" w:rsidRPr="00FA6690" w:rsidRDefault="00FA6690" w:rsidP="000D632E">
            <w:pPr>
              <w:jc w:val="both"/>
              <w:rPr>
                <w:rFonts w:ascii="Verdana" w:hAnsi="Verdana"/>
                <w:b/>
                <w:sz w:val="20"/>
                <w:szCs w:val="20"/>
              </w:rPr>
            </w:pPr>
            <w:r>
              <w:rPr>
                <w:rFonts w:ascii="Verdana" w:hAnsi="Verdana"/>
                <w:b/>
                <w:sz w:val="20"/>
                <w:szCs w:val="20"/>
              </w:rPr>
              <w:t>Taustaa</w:t>
            </w:r>
          </w:p>
          <w:p w14:paraId="631ACAF6" w14:textId="77777777" w:rsidR="006B17CA" w:rsidRDefault="003B0E65" w:rsidP="000D632E">
            <w:pPr>
              <w:jc w:val="both"/>
              <w:rPr>
                <w:rFonts w:ascii="Verdana" w:hAnsi="Verdana"/>
                <w:sz w:val="20"/>
                <w:szCs w:val="20"/>
              </w:rPr>
            </w:pPr>
            <w:r>
              <w:rPr>
                <w:rFonts w:ascii="Verdana" w:hAnsi="Verdana"/>
                <w:sz w:val="20"/>
                <w:szCs w:val="20"/>
              </w:rPr>
              <w:t>Tapauksessa oli kyse liikennepalvelujen suorahankinnasta lisätilauksena.</w:t>
            </w:r>
          </w:p>
          <w:p w14:paraId="53E3460A" w14:textId="77777777" w:rsidR="007842B7" w:rsidRDefault="007842B7" w:rsidP="000D632E">
            <w:pPr>
              <w:jc w:val="both"/>
              <w:rPr>
                <w:rFonts w:ascii="Verdana" w:hAnsi="Verdana"/>
                <w:sz w:val="20"/>
                <w:szCs w:val="20"/>
              </w:rPr>
            </w:pPr>
          </w:p>
          <w:p w14:paraId="66ADBB1D" w14:textId="42BA0492" w:rsidR="00AF7219" w:rsidRDefault="007842B7" w:rsidP="000D632E">
            <w:pPr>
              <w:jc w:val="both"/>
              <w:rPr>
                <w:rFonts w:ascii="Verdana" w:hAnsi="Verdana"/>
                <w:sz w:val="20"/>
                <w:szCs w:val="20"/>
              </w:rPr>
            </w:pPr>
            <w:r>
              <w:rPr>
                <w:rFonts w:ascii="Verdana" w:hAnsi="Verdana"/>
                <w:sz w:val="20"/>
                <w:szCs w:val="20"/>
              </w:rPr>
              <w:t>Tapauksessa hankintasopimuksen toimittaja oli liikennöinyt linja-autolinjaa, mutta ilmoittanut hankintayksikölle lopettavansa tämän linjan liikennöinnin. Ilmoituksen jälkeen hankintayksikkö oli hankkinut ko. linjan liikennöinnin suorahankintana toisen linjan</w:t>
            </w:r>
            <w:r w:rsidR="00093CDD">
              <w:rPr>
                <w:rFonts w:ascii="Verdana" w:hAnsi="Verdana"/>
                <w:sz w:val="20"/>
                <w:szCs w:val="20"/>
              </w:rPr>
              <w:t>, linjan 7,</w:t>
            </w:r>
            <w:r>
              <w:rPr>
                <w:rFonts w:ascii="Verdana" w:hAnsi="Verdana"/>
                <w:sz w:val="20"/>
                <w:szCs w:val="20"/>
              </w:rPr>
              <w:t xml:space="preserve"> liikennöitsijältä.</w:t>
            </w:r>
          </w:p>
          <w:p w14:paraId="3871C123" w14:textId="77777777" w:rsidR="00AF7219" w:rsidRDefault="00AF7219" w:rsidP="000D632E">
            <w:pPr>
              <w:jc w:val="both"/>
              <w:rPr>
                <w:rFonts w:ascii="Verdana" w:hAnsi="Verdana"/>
                <w:sz w:val="20"/>
                <w:szCs w:val="20"/>
              </w:rPr>
            </w:pPr>
          </w:p>
          <w:p w14:paraId="4FEB26E7" w14:textId="554C8B5B" w:rsidR="007842B7" w:rsidRDefault="007842B7" w:rsidP="000D632E">
            <w:pPr>
              <w:jc w:val="both"/>
              <w:rPr>
                <w:rFonts w:ascii="Verdana" w:hAnsi="Verdana"/>
                <w:sz w:val="20"/>
                <w:szCs w:val="20"/>
              </w:rPr>
            </w:pPr>
            <w:r>
              <w:rPr>
                <w:rFonts w:ascii="Verdana" w:hAnsi="Verdana"/>
                <w:sz w:val="20"/>
                <w:szCs w:val="20"/>
              </w:rPr>
              <w:t>Hankintayksikkö katsoi, että kyseessä oli sallittu lisätilaus-suorahankinta. Hankintayksikkö vetosi siihen, että suorahankinta oli sallittu, koska uutta linjaa koskeva liikennöintisopimus tehtiin alkuperäisen toimittajan</w:t>
            </w:r>
            <w:r w:rsidR="002A042F">
              <w:rPr>
                <w:rFonts w:ascii="Verdana" w:hAnsi="Verdana"/>
                <w:sz w:val="20"/>
                <w:szCs w:val="20"/>
              </w:rPr>
              <w:t xml:space="preserve"> eli toisen linjan liikennöitsijän</w:t>
            </w:r>
            <w:r>
              <w:rPr>
                <w:rFonts w:ascii="Verdana" w:hAnsi="Verdana"/>
                <w:sz w:val="20"/>
                <w:szCs w:val="20"/>
              </w:rPr>
              <w:t xml:space="preserve"> kanssa ja se oli siten vain lisätilaus.</w:t>
            </w:r>
          </w:p>
          <w:p w14:paraId="38C316BF" w14:textId="7593D90D" w:rsidR="007842B7" w:rsidRDefault="007842B7" w:rsidP="000D632E">
            <w:pPr>
              <w:jc w:val="both"/>
              <w:rPr>
                <w:rFonts w:ascii="Verdana" w:hAnsi="Verdana"/>
                <w:sz w:val="20"/>
                <w:szCs w:val="20"/>
              </w:rPr>
            </w:pPr>
          </w:p>
          <w:p w14:paraId="43FAB365" w14:textId="49D48AE0" w:rsidR="00AF7219" w:rsidRDefault="00AF7219" w:rsidP="000D632E">
            <w:pPr>
              <w:jc w:val="both"/>
              <w:rPr>
                <w:rFonts w:ascii="Verdana" w:hAnsi="Verdana"/>
                <w:b/>
                <w:sz w:val="20"/>
                <w:szCs w:val="20"/>
              </w:rPr>
            </w:pPr>
            <w:proofErr w:type="spellStart"/>
            <w:r>
              <w:rPr>
                <w:rFonts w:ascii="Verdana" w:hAnsi="Verdana"/>
                <w:b/>
                <w:sz w:val="20"/>
                <w:szCs w:val="20"/>
              </w:rPr>
              <w:t>MAO:n</w:t>
            </w:r>
            <w:proofErr w:type="spellEnd"/>
            <w:r>
              <w:rPr>
                <w:rFonts w:ascii="Verdana" w:hAnsi="Verdana"/>
                <w:b/>
                <w:sz w:val="20"/>
                <w:szCs w:val="20"/>
              </w:rPr>
              <w:t xml:space="preserve"> ratkaisu</w:t>
            </w:r>
          </w:p>
          <w:p w14:paraId="6A26C77F" w14:textId="2211EFC0" w:rsidR="002625B9" w:rsidRDefault="002625B9" w:rsidP="000D632E">
            <w:pPr>
              <w:jc w:val="both"/>
              <w:rPr>
                <w:rFonts w:ascii="Verdana" w:hAnsi="Verdana"/>
                <w:sz w:val="20"/>
                <w:szCs w:val="20"/>
              </w:rPr>
            </w:pPr>
          </w:p>
          <w:p w14:paraId="0ACF43C1" w14:textId="03B416EC" w:rsidR="007842B7" w:rsidRPr="006B17CA" w:rsidRDefault="00093CDD" w:rsidP="000D632E">
            <w:pPr>
              <w:jc w:val="both"/>
              <w:rPr>
                <w:rFonts w:ascii="Verdana" w:hAnsi="Verdana"/>
                <w:sz w:val="20"/>
                <w:szCs w:val="20"/>
              </w:rPr>
            </w:pPr>
            <w:r>
              <w:rPr>
                <w:rFonts w:ascii="Verdana" w:hAnsi="Verdana"/>
                <w:sz w:val="20"/>
                <w:szCs w:val="20"/>
              </w:rPr>
              <w:lastRenderedPageBreak/>
              <w:t>MAO totesi, että h</w:t>
            </w:r>
            <w:r w:rsidR="00AF7219">
              <w:rPr>
                <w:rFonts w:ascii="Verdana" w:hAnsi="Verdana"/>
                <w:sz w:val="20"/>
                <w:szCs w:val="20"/>
              </w:rPr>
              <w:t>ankinnassa oli</w:t>
            </w:r>
            <w:r w:rsidR="007842B7" w:rsidRPr="007842B7">
              <w:rPr>
                <w:rFonts w:ascii="Verdana" w:hAnsi="Verdana"/>
                <w:sz w:val="20"/>
                <w:szCs w:val="20"/>
              </w:rPr>
              <w:t xml:space="preserve"> ollut kysymys lisäliikenteestä uudella reitillä eikä lisäpalvelusta linjalla 7. Reittiä Keskustori–Siivikkala koskevien kuljetuspa</w:t>
            </w:r>
            <w:r>
              <w:rPr>
                <w:rFonts w:ascii="Verdana" w:hAnsi="Verdana"/>
                <w:sz w:val="20"/>
                <w:szCs w:val="20"/>
              </w:rPr>
              <w:t>lvelujen suorahankinnassa ei ollut</w:t>
            </w:r>
            <w:r w:rsidR="007842B7" w:rsidRPr="007842B7">
              <w:rPr>
                <w:rFonts w:ascii="Verdana" w:hAnsi="Verdana"/>
                <w:sz w:val="20"/>
                <w:szCs w:val="20"/>
              </w:rPr>
              <w:t xml:space="preserve"> kysymys hankintalain 28 §:n 3 momentissa säädetystä tilanteesta, jossa hankintayksikkö hankkii alkuperäiseltä toimittajalta palvelun, joka </w:t>
            </w:r>
            <w:r w:rsidR="007842B7" w:rsidRPr="00093CDD">
              <w:rPr>
                <w:rFonts w:ascii="Verdana" w:hAnsi="Verdana"/>
                <w:b/>
                <w:sz w:val="20"/>
                <w:szCs w:val="20"/>
              </w:rPr>
              <w:t>vastaa aikaisemmin kilpailutettua palveluhankintaa</w:t>
            </w:r>
            <w:r w:rsidR="007842B7" w:rsidRPr="007842B7">
              <w:rPr>
                <w:rFonts w:ascii="Verdana" w:hAnsi="Verdana"/>
                <w:sz w:val="20"/>
                <w:szCs w:val="20"/>
              </w:rPr>
              <w:t>.</w:t>
            </w:r>
          </w:p>
        </w:tc>
      </w:tr>
      <w:tr w:rsidR="00A77841" w:rsidRPr="000D632E" w14:paraId="4E567C1B" w14:textId="77777777" w:rsidTr="00647AE9">
        <w:tc>
          <w:tcPr>
            <w:tcW w:w="6997" w:type="dxa"/>
          </w:tcPr>
          <w:p w14:paraId="2CE32877" w14:textId="77777777" w:rsidR="00A77841" w:rsidRDefault="00A77841" w:rsidP="000D632E">
            <w:pPr>
              <w:jc w:val="both"/>
              <w:rPr>
                <w:rFonts w:ascii="Verdana" w:hAnsi="Verdana"/>
                <w:sz w:val="20"/>
                <w:szCs w:val="20"/>
              </w:rPr>
            </w:pPr>
          </w:p>
        </w:tc>
        <w:tc>
          <w:tcPr>
            <w:tcW w:w="6997" w:type="dxa"/>
          </w:tcPr>
          <w:p w14:paraId="477A5984" w14:textId="77777777" w:rsidR="00A77841" w:rsidRPr="00093CDD" w:rsidRDefault="00D0769D" w:rsidP="000D632E">
            <w:pPr>
              <w:jc w:val="both"/>
              <w:rPr>
                <w:rFonts w:ascii="Verdana" w:hAnsi="Verdana"/>
                <w:sz w:val="20"/>
              </w:rPr>
            </w:pPr>
            <w:hyperlink r:id="rId26" w:history="1">
              <w:r w:rsidR="00A77841" w:rsidRPr="00093CDD">
                <w:rPr>
                  <w:rStyle w:val="Hyperlinkki"/>
                  <w:rFonts w:ascii="Verdana" w:hAnsi="Verdana"/>
                  <w:sz w:val="20"/>
                </w:rPr>
                <w:t>MAO:207/09</w:t>
              </w:r>
            </w:hyperlink>
          </w:p>
          <w:p w14:paraId="0FF7A319" w14:textId="39E9AD22" w:rsidR="00A77841" w:rsidRDefault="00A77841" w:rsidP="000D632E">
            <w:pPr>
              <w:jc w:val="both"/>
              <w:rPr>
                <w:rFonts w:ascii="Verdana" w:hAnsi="Verdana"/>
                <w:sz w:val="20"/>
              </w:rPr>
            </w:pPr>
          </w:p>
          <w:p w14:paraId="54A3B8E8" w14:textId="5CA1AD37" w:rsidR="00C460C0" w:rsidRDefault="00C460C0" w:rsidP="000D632E">
            <w:pPr>
              <w:jc w:val="both"/>
              <w:rPr>
                <w:rFonts w:ascii="Verdana" w:hAnsi="Verdana"/>
                <w:b/>
                <w:sz w:val="20"/>
              </w:rPr>
            </w:pPr>
            <w:r>
              <w:rPr>
                <w:rFonts w:ascii="Verdana" w:hAnsi="Verdana"/>
                <w:b/>
                <w:sz w:val="20"/>
              </w:rPr>
              <w:t>Taustaa</w:t>
            </w:r>
          </w:p>
          <w:p w14:paraId="417F0C18" w14:textId="77777777" w:rsidR="00C460C0" w:rsidRPr="00C460C0" w:rsidRDefault="00C460C0" w:rsidP="000D632E">
            <w:pPr>
              <w:jc w:val="both"/>
              <w:rPr>
                <w:rFonts w:ascii="Verdana" w:hAnsi="Verdana"/>
                <w:b/>
                <w:sz w:val="20"/>
              </w:rPr>
            </w:pPr>
          </w:p>
          <w:p w14:paraId="203B9E97" w14:textId="08EF3315" w:rsidR="00C460C0" w:rsidRDefault="00C460C0" w:rsidP="00A77841">
            <w:pPr>
              <w:jc w:val="both"/>
              <w:rPr>
                <w:rFonts w:ascii="Verdana" w:hAnsi="Verdana"/>
                <w:sz w:val="20"/>
              </w:rPr>
            </w:pPr>
            <w:r>
              <w:rPr>
                <w:rFonts w:ascii="Verdana" w:hAnsi="Verdana"/>
                <w:sz w:val="20"/>
              </w:rPr>
              <w:t>Hankintayksikkö oli</w:t>
            </w:r>
            <w:r w:rsidR="00A77841" w:rsidRPr="00093CDD">
              <w:rPr>
                <w:rFonts w:ascii="Verdana" w:hAnsi="Verdana"/>
                <w:sz w:val="20"/>
              </w:rPr>
              <w:t xml:space="preserve"> </w:t>
            </w:r>
            <w:r>
              <w:rPr>
                <w:rFonts w:ascii="Verdana" w:hAnsi="Verdana"/>
                <w:sz w:val="20"/>
              </w:rPr>
              <w:t xml:space="preserve">päättänyt </w:t>
            </w:r>
            <w:r w:rsidR="00A77841" w:rsidRPr="00093CDD">
              <w:rPr>
                <w:rFonts w:ascii="Verdana" w:hAnsi="Verdana"/>
                <w:sz w:val="20"/>
              </w:rPr>
              <w:t>Primus-oppilasha</w:t>
            </w:r>
            <w:r w:rsidR="00E415F0">
              <w:rPr>
                <w:rFonts w:ascii="Verdana" w:hAnsi="Verdana"/>
                <w:sz w:val="20"/>
              </w:rPr>
              <w:t>llintojärjestelmän laajentamisesta suorahankintana.</w:t>
            </w:r>
            <w:r w:rsidR="00A77841" w:rsidRPr="00093CDD">
              <w:rPr>
                <w:rFonts w:ascii="Verdana" w:hAnsi="Verdana"/>
                <w:sz w:val="20"/>
              </w:rPr>
              <w:t xml:space="preserve"> </w:t>
            </w:r>
          </w:p>
          <w:p w14:paraId="648F03C1" w14:textId="77777777" w:rsidR="00C460C0" w:rsidRDefault="00C460C0" w:rsidP="00A77841">
            <w:pPr>
              <w:jc w:val="both"/>
              <w:rPr>
                <w:rFonts w:ascii="Verdana" w:hAnsi="Verdana"/>
                <w:sz w:val="20"/>
              </w:rPr>
            </w:pPr>
          </w:p>
          <w:p w14:paraId="0B8C7EAE" w14:textId="5A9129A3" w:rsidR="00A77841" w:rsidRPr="00093CDD" w:rsidRDefault="00C460C0" w:rsidP="00A77841">
            <w:pPr>
              <w:jc w:val="both"/>
              <w:rPr>
                <w:rFonts w:ascii="Verdana" w:hAnsi="Verdana"/>
                <w:sz w:val="20"/>
              </w:rPr>
            </w:pPr>
            <w:r>
              <w:rPr>
                <w:rFonts w:ascii="Verdana" w:hAnsi="Verdana"/>
                <w:sz w:val="20"/>
              </w:rPr>
              <w:t>Suorahankintapäätöksestä ilmeni</w:t>
            </w:r>
            <w:r w:rsidR="00A77841" w:rsidRPr="00093CDD">
              <w:rPr>
                <w:rFonts w:ascii="Verdana" w:hAnsi="Verdana"/>
                <w:sz w:val="20"/>
              </w:rPr>
              <w:t>, että päätöstä o</w:t>
            </w:r>
            <w:r>
              <w:rPr>
                <w:rFonts w:ascii="Verdana" w:hAnsi="Verdana"/>
                <w:sz w:val="20"/>
              </w:rPr>
              <w:t>li</w:t>
            </w:r>
            <w:r w:rsidR="00A77841" w:rsidRPr="00093CDD">
              <w:rPr>
                <w:rFonts w:ascii="Verdana" w:hAnsi="Verdana"/>
                <w:sz w:val="20"/>
              </w:rPr>
              <w:t xml:space="preserve"> pidetty </w:t>
            </w:r>
            <w:r>
              <w:rPr>
                <w:rFonts w:ascii="Verdana" w:hAnsi="Verdana"/>
                <w:sz w:val="20"/>
              </w:rPr>
              <w:t xml:space="preserve">hankintalain </w:t>
            </w:r>
            <w:r w:rsidR="00A77841" w:rsidRPr="00093CDD">
              <w:rPr>
                <w:rFonts w:ascii="Verdana" w:hAnsi="Verdana"/>
                <w:sz w:val="20"/>
              </w:rPr>
              <w:t>27 §:n 2 kohdan sekä 28 §:n 1 momentin mukaisena suo</w:t>
            </w:r>
            <w:r w:rsidR="004E5DB3">
              <w:rPr>
                <w:rFonts w:ascii="Verdana" w:hAnsi="Verdana"/>
                <w:sz w:val="20"/>
              </w:rPr>
              <w:t xml:space="preserve">rahankintana. </w:t>
            </w:r>
          </w:p>
          <w:p w14:paraId="241BFAB9" w14:textId="3DF5A4D7" w:rsidR="00A77841" w:rsidRPr="00093CDD" w:rsidRDefault="00A77841" w:rsidP="00A77841">
            <w:pPr>
              <w:jc w:val="both"/>
              <w:rPr>
                <w:rFonts w:ascii="Verdana" w:hAnsi="Verdana"/>
                <w:sz w:val="20"/>
              </w:rPr>
            </w:pPr>
          </w:p>
          <w:p w14:paraId="13C198C3" w14:textId="3FC83079" w:rsidR="00A77841" w:rsidRDefault="004E5DB3" w:rsidP="00E415F0">
            <w:pPr>
              <w:rPr>
                <w:rFonts w:ascii="Verdana" w:hAnsi="Verdana"/>
                <w:sz w:val="20"/>
              </w:rPr>
            </w:pPr>
            <w:r>
              <w:rPr>
                <w:rFonts w:ascii="Verdana" w:hAnsi="Verdana"/>
                <w:sz w:val="20"/>
              </w:rPr>
              <w:t>Asiassa oli kysymyksenä</w:t>
            </w:r>
            <w:r w:rsidR="00A77841" w:rsidRPr="00093CDD">
              <w:rPr>
                <w:rFonts w:ascii="Verdana" w:hAnsi="Verdana"/>
                <w:sz w:val="20"/>
              </w:rPr>
              <w:t>, onko hankintayksikkö voinut toteuttaa oppilashallintojärjestelmän laajentamista koskevan hankinnan suorahankintana</w:t>
            </w:r>
            <w:r>
              <w:rPr>
                <w:rFonts w:ascii="Verdana" w:hAnsi="Verdana"/>
                <w:sz w:val="20"/>
              </w:rPr>
              <w:t>.</w:t>
            </w:r>
          </w:p>
          <w:p w14:paraId="7DF85FCE" w14:textId="77777777" w:rsidR="00E15321" w:rsidRPr="00093CDD" w:rsidRDefault="00E15321" w:rsidP="00E415F0">
            <w:pPr>
              <w:rPr>
                <w:rFonts w:ascii="Verdana" w:hAnsi="Verdana"/>
                <w:sz w:val="20"/>
              </w:rPr>
            </w:pPr>
          </w:p>
          <w:p w14:paraId="7C14FFE8" w14:textId="10A3B440" w:rsidR="00A77841" w:rsidRPr="00093CDD" w:rsidRDefault="004E5DB3" w:rsidP="00A77841">
            <w:pPr>
              <w:jc w:val="both"/>
              <w:rPr>
                <w:rFonts w:ascii="Verdana" w:hAnsi="Verdana"/>
                <w:sz w:val="20"/>
              </w:rPr>
            </w:pPr>
            <w:r>
              <w:rPr>
                <w:rFonts w:ascii="Verdana" w:hAnsi="Verdana"/>
                <w:sz w:val="20"/>
              </w:rPr>
              <w:t>Hankintapäätöksessä oli</w:t>
            </w:r>
            <w:r w:rsidR="00A77841" w:rsidRPr="00093CDD">
              <w:rPr>
                <w:rFonts w:ascii="Verdana" w:hAnsi="Verdana"/>
                <w:sz w:val="20"/>
              </w:rPr>
              <w:t xml:space="preserve"> päätöksen perusteista tod</w:t>
            </w:r>
            <w:r>
              <w:rPr>
                <w:rFonts w:ascii="Verdana" w:hAnsi="Verdana"/>
                <w:sz w:val="20"/>
              </w:rPr>
              <w:t>ettu muun ohella seuraavaa</w:t>
            </w:r>
            <w:r w:rsidR="00A77841" w:rsidRPr="00093CDD">
              <w:rPr>
                <w:rFonts w:ascii="Verdana" w:hAnsi="Verdana"/>
                <w:sz w:val="20"/>
              </w:rPr>
              <w:t>:</w:t>
            </w:r>
          </w:p>
          <w:p w14:paraId="0FF9745F" w14:textId="77777777" w:rsidR="004E5DB3" w:rsidRDefault="00A77841" w:rsidP="00A77841">
            <w:pPr>
              <w:jc w:val="both"/>
              <w:rPr>
                <w:rFonts w:ascii="Verdana" w:hAnsi="Verdana"/>
                <w:sz w:val="20"/>
              </w:rPr>
            </w:pPr>
            <w:r w:rsidRPr="00093CDD">
              <w:rPr>
                <w:rFonts w:ascii="Verdana" w:hAnsi="Verdana"/>
                <w:sz w:val="20"/>
              </w:rPr>
              <w:t xml:space="preserve">”Uudistuvassa Hämeenlinnassa voi oppilasvirtojen hallitsemisen kannalta olla käytössä vain yksi oppilashallintojärjestelmä. </w:t>
            </w:r>
          </w:p>
          <w:p w14:paraId="5D1AD0F3" w14:textId="77777777" w:rsidR="004E5DB3" w:rsidRDefault="004E5DB3" w:rsidP="00A77841">
            <w:pPr>
              <w:jc w:val="both"/>
              <w:rPr>
                <w:rFonts w:ascii="Verdana" w:hAnsi="Verdana"/>
                <w:sz w:val="20"/>
              </w:rPr>
            </w:pPr>
          </w:p>
          <w:p w14:paraId="4F147288" w14:textId="140D4B9F" w:rsidR="00A77841" w:rsidRPr="00093CDD" w:rsidRDefault="00A77841" w:rsidP="00A77841">
            <w:pPr>
              <w:jc w:val="both"/>
              <w:rPr>
                <w:rFonts w:ascii="Verdana" w:hAnsi="Verdana"/>
                <w:sz w:val="20"/>
              </w:rPr>
            </w:pPr>
            <w:r w:rsidRPr="00093CDD">
              <w:rPr>
                <w:rFonts w:ascii="Verdana" w:hAnsi="Verdana"/>
                <w:sz w:val="20"/>
              </w:rPr>
              <w:t>Tarkoituksenmukaista on valita käytössä olevista ohjelmista toinen ja laajentaa sen käyttö koskemaan koko uutta kaupunkia. Tämä lisää muutostilanteen hallittavuutta ja vähentää koulutuksen tarvetta, kun ohjelma on osalle sen käyttäjistä ennestään tuttu.</w:t>
            </w:r>
          </w:p>
          <w:p w14:paraId="5F314D74" w14:textId="77777777" w:rsidR="00A77841" w:rsidRPr="00093CDD" w:rsidRDefault="00A77841" w:rsidP="00A77841">
            <w:pPr>
              <w:jc w:val="both"/>
              <w:rPr>
                <w:rFonts w:ascii="Verdana" w:hAnsi="Verdana"/>
                <w:sz w:val="20"/>
              </w:rPr>
            </w:pPr>
          </w:p>
          <w:p w14:paraId="5E7A9DAD" w14:textId="1BC00491" w:rsidR="00A77841" w:rsidRPr="00093CDD" w:rsidRDefault="00A77841" w:rsidP="00A77841">
            <w:pPr>
              <w:jc w:val="both"/>
              <w:rPr>
                <w:rFonts w:ascii="Verdana" w:hAnsi="Verdana"/>
                <w:sz w:val="20"/>
              </w:rPr>
            </w:pPr>
            <w:r w:rsidRPr="00093CDD">
              <w:rPr>
                <w:rFonts w:ascii="Verdana" w:hAnsi="Verdana"/>
                <w:sz w:val="20"/>
              </w:rPr>
              <w:t xml:space="preserve">Oppilashallinto-ohjelmien käyttäjien ja opetustoimen it-ryhmän kokemusten perusteella on päädytty siihen, että </w:t>
            </w:r>
            <w:proofErr w:type="spellStart"/>
            <w:r w:rsidRPr="00093CDD">
              <w:rPr>
                <w:rFonts w:ascii="Verdana" w:hAnsi="Verdana"/>
                <w:sz w:val="20"/>
              </w:rPr>
              <w:t>StarSoft</w:t>
            </w:r>
            <w:proofErr w:type="spellEnd"/>
            <w:r w:rsidRPr="00093CDD">
              <w:rPr>
                <w:rFonts w:ascii="Verdana" w:hAnsi="Verdana"/>
                <w:sz w:val="20"/>
              </w:rPr>
              <w:t xml:space="preserve"> Oy:n Primus-ohjelma vastaa hyvin nykyaikaiselle </w:t>
            </w:r>
            <w:r w:rsidRPr="00093CDD">
              <w:rPr>
                <w:rFonts w:ascii="Verdana" w:hAnsi="Verdana"/>
                <w:sz w:val="20"/>
              </w:rPr>
              <w:lastRenderedPageBreak/>
              <w:t>oppilashallintojärjestelmän käytölle asetettavia vaatimuksia ja tarpeita. Ohjelmaa on kehitetty laajasti vastaamaan mm. erityisopetuksen ja eri koulumuotojen ominaispiirteitä, ja se lisäksi tukee hallinnon raportointitarvetta.</w:t>
            </w:r>
          </w:p>
          <w:p w14:paraId="307BEEF7" w14:textId="77777777" w:rsidR="00A77841" w:rsidRPr="00093CDD" w:rsidRDefault="00A77841" w:rsidP="00A77841">
            <w:pPr>
              <w:jc w:val="both"/>
              <w:rPr>
                <w:rFonts w:ascii="Verdana" w:hAnsi="Verdana"/>
                <w:sz w:val="20"/>
              </w:rPr>
            </w:pPr>
          </w:p>
          <w:p w14:paraId="20FFE09F" w14:textId="78D4BD10" w:rsidR="00A77841" w:rsidRPr="00093CDD" w:rsidRDefault="00A77841" w:rsidP="00A77841">
            <w:pPr>
              <w:jc w:val="both"/>
              <w:rPr>
                <w:rFonts w:ascii="Verdana" w:hAnsi="Verdana"/>
                <w:sz w:val="20"/>
              </w:rPr>
            </w:pPr>
            <w:r w:rsidRPr="00093CDD">
              <w:rPr>
                <w:rFonts w:ascii="Verdana" w:hAnsi="Verdana"/>
                <w:sz w:val="20"/>
              </w:rPr>
              <w:t xml:space="preserve">Uudessa Hämeenlinnassa jo osittain käytössä olevan Primus-ohjelman voi toimittaa ainoastaan </w:t>
            </w:r>
            <w:proofErr w:type="spellStart"/>
            <w:r w:rsidRPr="00093CDD">
              <w:rPr>
                <w:rFonts w:ascii="Verdana" w:hAnsi="Verdana"/>
                <w:sz w:val="20"/>
              </w:rPr>
              <w:t>StarSoft</w:t>
            </w:r>
            <w:proofErr w:type="spellEnd"/>
            <w:r w:rsidRPr="00093CDD">
              <w:rPr>
                <w:rFonts w:ascii="Verdana" w:hAnsi="Verdana"/>
                <w:sz w:val="20"/>
              </w:rPr>
              <w:t xml:space="preserve"> Oy. Näin ollen oppilashallintojärjestelmän laajennus voidaan teknisistä syistä toteuttaa vain tekemällä sopimus </w:t>
            </w:r>
            <w:proofErr w:type="spellStart"/>
            <w:r w:rsidRPr="00093CDD">
              <w:rPr>
                <w:rFonts w:ascii="Verdana" w:hAnsi="Verdana"/>
                <w:sz w:val="20"/>
              </w:rPr>
              <w:t>StarSoft</w:t>
            </w:r>
            <w:proofErr w:type="spellEnd"/>
            <w:r w:rsidRPr="00093CDD">
              <w:rPr>
                <w:rFonts w:ascii="Verdana" w:hAnsi="Verdana"/>
                <w:sz w:val="20"/>
              </w:rPr>
              <w:t xml:space="preserve"> Oy:n kanssa. Tarkoituksenmukaista on, että sopimus tehdään kolmeksi vuodeksi, jonka jälkeen oppilashallintojärjestelmän hankintaa arvioidaan uudelleen.”</w:t>
            </w:r>
          </w:p>
          <w:p w14:paraId="14660E0C" w14:textId="1D34F87A" w:rsidR="00A77841" w:rsidRDefault="00A77841" w:rsidP="00A77841">
            <w:pPr>
              <w:jc w:val="both"/>
              <w:rPr>
                <w:rFonts w:ascii="Verdana" w:hAnsi="Verdana"/>
                <w:sz w:val="20"/>
              </w:rPr>
            </w:pPr>
          </w:p>
          <w:p w14:paraId="142D19A5" w14:textId="607A5842" w:rsidR="004E5DB3" w:rsidRDefault="004E5DB3" w:rsidP="00A77841">
            <w:pPr>
              <w:jc w:val="both"/>
              <w:rPr>
                <w:rFonts w:ascii="Verdana" w:hAnsi="Verdana"/>
                <w:b/>
                <w:sz w:val="20"/>
              </w:rPr>
            </w:pPr>
            <w:proofErr w:type="spellStart"/>
            <w:r>
              <w:rPr>
                <w:rFonts w:ascii="Verdana" w:hAnsi="Verdana"/>
                <w:b/>
                <w:sz w:val="20"/>
              </w:rPr>
              <w:t>MAO:n</w:t>
            </w:r>
            <w:proofErr w:type="spellEnd"/>
            <w:r>
              <w:rPr>
                <w:rFonts w:ascii="Verdana" w:hAnsi="Verdana"/>
                <w:b/>
                <w:sz w:val="20"/>
              </w:rPr>
              <w:t xml:space="preserve"> ratkaisu</w:t>
            </w:r>
          </w:p>
          <w:p w14:paraId="5098B2D1" w14:textId="77777777" w:rsidR="004E5DB3" w:rsidRPr="004E5DB3" w:rsidRDefault="004E5DB3" w:rsidP="00A77841">
            <w:pPr>
              <w:jc w:val="both"/>
              <w:rPr>
                <w:rFonts w:ascii="Verdana" w:hAnsi="Verdana"/>
                <w:b/>
                <w:sz w:val="20"/>
              </w:rPr>
            </w:pPr>
          </w:p>
          <w:p w14:paraId="221BE6AA" w14:textId="6A3139F3" w:rsidR="00A77841" w:rsidRPr="00093CDD" w:rsidRDefault="004E5DB3" w:rsidP="00A77841">
            <w:pPr>
              <w:jc w:val="both"/>
              <w:rPr>
                <w:rFonts w:ascii="Verdana" w:hAnsi="Verdana"/>
                <w:sz w:val="20"/>
              </w:rPr>
            </w:pPr>
            <w:r>
              <w:rPr>
                <w:rFonts w:ascii="Verdana" w:hAnsi="Verdana"/>
                <w:sz w:val="20"/>
              </w:rPr>
              <w:t xml:space="preserve">MAO totesi </w:t>
            </w:r>
            <w:r w:rsidR="00A77841" w:rsidRPr="00093CDD">
              <w:rPr>
                <w:rFonts w:ascii="Verdana" w:hAnsi="Verdana"/>
                <w:sz w:val="20"/>
              </w:rPr>
              <w:t xml:space="preserve">hankintapäätöksestä ilmenevän, että suorahankintamenettelyn käytön perusteena on ollut hankintayksikön </w:t>
            </w:r>
            <w:r w:rsidR="00A77841" w:rsidRPr="004E5DB3">
              <w:rPr>
                <w:rFonts w:ascii="Verdana" w:hAnsi="Verdana"/>
                <w:b/>
                <w:sz w:val="20"/>
              </w:rPr>
              <w:t>tarkoituksenmukaisuusharkinta</w:t>
            </w:r>
            <w:r w:rsidR="00A77841" w:rsidRPr="00093CDD">
              <w:rPr>
                <w:rFonts w:ascii="Verdana" w:hAnsi="Verdana"/>
                <w:sz w:val="20"/>
              </w:rPr>
              <w:t>.</w:t>
            </w:r>
          </w:p>
          <w:p w14:paraId="58E570F9" w14:textId="7E497942" w:rsidR="00A77841" w:rsidRPr="00093CDD" w:rsidRDefault="00A77841" w:rsidP="00A77841">
            <w:pPr>
              <w:jc w:val="both"/>
              <w:rPr>
                <w:rFonts w:ascii="Verdana" w:hAnsi="Verdana"/>
                <w:sz w:val="20"/>
              </w:rPr>
            </w:pPr>
          </w:p>
          <w:p w14:paraId="479D71AA" w14:textId="0D1AF145" w:rsidR="00A77841" w:rsidRDefault="004E5DB3" w:rsidP="00A77841">
            <w:pPr>
              <w:jc w:val="both"/>
              <w:rPr>
                <w:rFonts w:ascii="Verdana" w:hAnsi="Verdana"/>
                <w:sz w:val="20"/>
              </w:rPr>
            </w:pPr>
            <w:r>
              <w:rPr>
                <w:rFonts w:ascii="Verdana" w:hAnsi="Verdana"/>
                <w:sz w:val="20"/>
              </w:rPr>
              <w:t>MAO katsoi</w:t>
            </w:r>
            <w:r w:rsidR="000E0F5B">
              <w:rPr>
                <w:rFonts w:ascii="Verdana" w:hAnsi="Verdana"/>
                <w:sz w:val="20"/>
              </w:rPr>
              <w:t>, että m</w:t>
            </w:r>
            <w:r>
              <w:rPr>
                <w:rFonts w:ascii="Verdana" w:hAnsi="Verdana"/>
                <w:sz w:val="20"/>
              </w:rPr>
              <w:t>arkkinoilla oli</w:t>
            </w:r>
            <w:r w:rsidR="00A77841" w:rsidRPr="00093CDD">
              <w:rPr>
                <w:rFonts w:ascii="Verdana" w:hAnsi="Verdana"/>
                <w:sz w:val="20"/>
              </w:rPr>
              <w:t xml:space="preserve"> tarjolla myös muiden toimittajien tarjoamia oppilashallintojärjestelmiä, mukaan lukien hakijan jo käytössä ollut </w:t>
            </w:r>
            <w:proofErr w:type="spellStart"/>
            <w:r w:rsidR="00A77841" w:rsidRPr="00093CDD">
              <w:rPr>
                <w:rFonts w:ascii="Verdana" w:hAnsi="Verdana"/>
                <w:sz w:val="20"/>
              </w:rPr>
              <w:t>ProCapita</w:t>
            </w:r>
            <w:proofErr w:type="spellEnd"/>
            <w:r w:rsidR="00A77841" w:rsidRPr="00093CDD">
              <w:rPr>
                <w:rFonts w:ascii="Verdana" w:hAnsi="Verdana"/>
                <w:sz w:val="20"/>
              </w:rPr>
              <w:t>-järjestelmä sekä hakijan kehitteillä ollut Helmi-oppilashallintojärjestelmä.</w:t>
            </w:r>
          </w:p>
          <w:p w14:paraId="5DA68AA7" w14:textId="77777777" w:rsidR="004B18E0" w:rsidRPr="00093CDD" w:rsidRDefault="004B18E0" w:rsidP="00A77841">
            <w:pPr>
              <w:jc w:val="both"/>
              <w:rPr>
                <w:rFonts w:ascii="Verdana" w:hAnsi="Verdana"/>
                <w:sz w:val="20"/>
              </w:rPr>
            </w:pPr>
          </w:p>
          <w:p w14:paraId="219438DF" w14:textId="1006670B" w:rsidR="00A77841" w:rsidRPr="00093CDD" w:rsidRDefault="004E5DB3" w:rsidP="004E5DB3">
            <w:pPr>
              <w:jc w:val="both"/>
              <w:rPr>
                <w:rFonts w:ascii="Verdana" w:hAnsi="Verdana"/>
                <w:sz w:val="20"/>
              </w:rPr>
            </w:pPr>
            <w:r>
              <w:rPr>
                <w:rFonts w:ascii="Verdana" w:hAnsi="Verdana"/>
                <w:sz w:val="20"/>
              </w:rPr>
              <w:t>MAO totesi</w:t>
            </w:r>
            <w:r w:rsidR="000E0F5B">
              <w:rPr>
                <w:rFonts w:ascii="Verdana" w:hAnsi="Verdana"/>
                <w:sz w:val="20"/>
              </w:rPr>
              <w:t xml:space="preserve"> lisäksi, että hankintayksikkö ei ollut esittänyt </w:t>
            </w:r>
            <w:r w:rsidR="00A77841" w:rsidRPr="00093CDD">
              <w:rPr>
                <w:rFonts w:ascii="Verdana" w:hAnsi="Verdana"/>
                <w:sz w:val="20"/>
              </w:rPr>
              <w:t xml:space="preserve">selvitystä siitä, että oppilasjärjestelmän laajentaminen olisi hankintalain 28 §:n 1 momentissa säädetyllä tavalla ollut toteutettavissa ainoastaan </w:t>
            </w:r>
            <w:proofErr w:type="spellStart"/>
            <w:r w:rsidR="00A77841" w:rsidRPr="00093CDD">
              <w:rPr>
                <w:rFonts w:ascii="Verdana" w:hAnsi="Verdana"/>
                <w:sz w:val="20"/>
              </w:rPr>
              <w:t>Starsoft</w:t>
            </w:r>
            <w:proofErr w:type="spellEnd"/>
            <w:r w:rsidR="00A77841" w:rsidRPr="00093CDD">
              <w:rPr>
                <w:rFonts w:ascii="Verdana" w:hAnsi="Verdana"/>
                <w:sz w:val="20"/>
              </w:rPr>
              <w:t xml:space="preserve"> Oy:n järjestelmällä. </w:t>
            </w:r>
          </w:p>
        </w:tc>
      </w:tr>
      <w:tr w:rsidR="00E5306D" w:rsidRPr="000D632E" w14:paraId="105D2649" w14:textId="77777777" w:rsidTr="00102935">
        <w:tc>
          <w:tcPr>
            <w:tcW w:w="13994" w:type="dxa"/>
            <w:gridSpan w:val="2"/>
            <w:shd w:val="clear" w:color="auto" w:fill="DEEAF6" w:themeFill="accent1" w:themeFillTint="33"/>
          </w:tcPr>
          <w:p w14:paraId="7D7F1BDF" w14:textId="75EFC314" w:rsidR="00E5306D" w:rsidRPr="000D632E" w:rsidRDefault="0067107E" w:rsidP="000D632E">
            <w:pPr>
              <w:jc w:val="center"/>
              <w:rPr>
                <w:rFonts w:ascii="Verdana" w:hAnsi="Verdana"/>
                <w:b/>
                <w:sz w:val="20"/>
                <w:szCs w:val="20"/>
              </w:rPr>
            </w:pPr>
            <w:r>
              <w:rPr>
                <w:rFonts w:ascii="Verdana" w:hAnsi="Verdana"/>
                <w:b/>
                <w:sz w:val="20"/>
                <w:szCs w:val="20"/>
              </w:rPr>
              <w:lastRenderedPageBreak/>
              <w:t xml:space="preserve">Huomioita oikeuskäytännöstä </w:t>
            </w:r>
            <w:r w:rsidR="00B47260" w:rsidRPr="000D632E">
              <w:rPr>
                <w:rFonts w:ascii="Verdana" w:hAnsi="Verdana"/>
                <w:b/>
                <w:sz w:val="20"/>
                <w:szCs w:val="20"/>
              </w:rPr>
              <w:t xml:space="preserve">ja </w:t>
            </w:r>
            <w:r>
              <w:rPr>
                <w:rFonts w:ascii="Verdana" w:hAnsi="Verdana"/>
                <w:b/>
                <w:sz w:val="20"/>
                <w:szCs w:val="20"/>
              </w:rPr>
              <w:t>esimerkkianalyysit</w:t>
            </w:r>
          </w:p>
        </w:tc>
      </w:tr>
      <w:tr w:rsidR="00E5306D" w:rsidRPr="000D632E" w14:paraId="7A2BD2E5" w14:textId="77777777" w:rsidTr="00E5306D">
        <w:tc>
          <w:tcPr>
            <w:tcW w:w="13994" w:type="dxa"/>
            <w:gridSpan w:val="2"/>
            <w:shd w:val="clear" w:color="auto" w:fill="FFFFFF" w:themeFill="background1"/>
          </w:tcPr>
          <w:p w14:paraId="62078FE1" w14:textId="23FC57FE" w:rsidR="0067107E" w:rsidRDefault="0067107E" w:rsidP="0067107E">
            <w:pPr>
              <w:jc w:val="both"/>
              <w:rPr>
                <w:rFonts w:ascii="Verdana" w:hAnsi="Verdana"/>
                <w:b/>
                <w:sz w:val="20"/>
                <w:szCs w:val="20"/>
              </w:rPr>
            </w:pPr>
            <w:r w:rsidRPr="0067107E">
              <w:rPr>
                <w:rFonts w:ascii="Verdana" w:hAnsi="Verdana"/>
                <w:b/>
                <w:sz w:val="20"/>
                <w:szCs w:val="20"/>
              </w:rPr>
              <w:t>Yleiset linjaukset</w:t>
            </w:r>
          </w:p>
          <w:p w14:paraId="15F027A2" w14:textId="477B0513" w:rsidR="008314AF" w:rsidRDefault="008314AF" w:rsidP="0067107E">
            <w:pPr>
              <w:jc w:val="both"/>
              <w:rPr>
                <w:rFonts w:ascii="Verdana" w:hAnsi="Verdana"/>
                <w:b/>
                <w:sz w:val="20"/>
                <w:szCs w:val="20"/>
              </w:rPr>
            </w:pPr>
          </w:p>
          <w:p w14:paraId="037FD72A" w14:textId="41AA08AF" w:rsidR="008314AF" w:rsidRDefault="003D5416" w:rsidP="008314AF">
            <w:pPr>
              <w:numPr>
                <w:ilvl w:val="0"/>
                <w:numId w:val="25"/>
              </w:numPr>
              <w:jc w:val="both"/>
              <w:rPr>
                <w:rFonts w:ascii="Verdana" w:hAnsi="Verdana"/>
                <w:sz w:val="20"/>
                <w:szCs w:val="20"/>
              </w:rPr>
            </w:pPr>
            <w:r>
              <w:rPr>
                <w:rFonts w:ascii="Verdana" w:hAnsi="Verdana"/>
                <w:sz w:val="20"/>
                <w:szCs w:val="20"/>
              </w:rPr>
              <w:t>S</w:t>
            </w:r>
            <w:r w:rsidR="008314AF" w:rsidRPr="008314AF">
              <w:rPr>
                <w:rFonts w:ascii="Verdana" w:hAnsi="Verdana"/>
                <w:sz w:val="20"/>
                <w:szCs w:val="20"/>
              </w:rPr>
              <w:t>uorahankintaperusteita on tulkittava suppeasti.</w:t>
            </w:r>
            <w:r>
              <w:rPr>
                <w:rStyle w:val="Alaviitteenviite"/>
                <w:rFonts w:ascii="Verdana" w:hAnsi="Verdana"/>
                <w:sz w:val="20"/>
                <w:szCs w:val="20"/>
              </w:rPr>
              <w:footnoteReference w:id="1"/>
            </w:r>
          </w:p>
          <w:p w14:paraId="32D75476" w14:textId="77777777" w:rsidR="008314AF" w:rsidRPr="008314AF" w:rsidRDefault="008314AF" w:rsidP="008314AF">
            <w:pPr>
              <w:ind w:left="360"/>
              <w:jc w:val="both"/>
              <w:rPr>
                <w:rFonts w:ascii="Verdana" w:hAnsi="Verdana"/>
                <w:sz w:val="20"/>
                <w:szCs w:val="20"/>
              </w:rPr>
            </w:pPr>
          </w:p>
          <w:p w14:paraId="5D872176" w14:textId="46E7DF60" w:rsidR="008314AF" w:rsidRPr="008314AF" w:rsidRDefault="008314AF" w:rsidP="008314AF">
            <w:pPr>
              <w:numPr>
                <w:ilvl w:val="0"/>
                <w:numId w:val="25"/>
              </w:numPr>
              <w:jc w:val="both"/>
              <w:rPr>
                <w:rFonts w:ascii="Verdana" w:hAnsi="Verdana"/>
                <w:sz w:val="20"/>
                <w:szCs w:val="20"/>
              </w:rPr>
            </w:pPr>
            <w:r w:rsidRPr="008314AF">
              <w:rPr>
                <w:rFonts w:ascii="Verdana" w:hAnsi="Verdana"/>
                <w:sz w:val="20"/>
                <w:szCs w:val="20"/>
              </w:rPr>
              <w:t>Sen, joka vetoaa suorahankintaperusteen käsillä oloon, on perusteltava suorahankinnan käyttäminen</w:t>
            </w:r>
            <w:r w:rsidR="003D5416">
              <w:rPr>
                <w:rFonts w:ascii="Verdana" w:hAnsi="Verdana"/>
                <w:sz w:val="20"/>
                <w:szCs w:val="20"/>
              </w:rPr>
              <w:t>.</w:t>
            </w:r>
            <w:r w:rsidR="003D5416">
              <w:rPr>
                <w:rStyle w:val="Alaviitteenviite"/>
                <w:rFonts w:ascii="Verdana" w:hAnsi="Verdana"/>
                <w:sz w:val="20"/>
                <w:szCs w:val="20"/>
              </w:rPr>
              <w:footnoteReference w:id="2"/>
            </w:r>
          </w:p>
          <w:p w14:paraId="557E9353" w14:textId="576F8F56" w:rsidR="008314AF" w:rsidRDefault="008314AF" w:rsidP="008314AF">
            <w:pPr>
              <w:pStyle w:val="Luettelokappale"/>
              <w:numPr>
                <w:ilvl w:val="0"/>
                <w:numId w:val="25"/>
              </w:numPr>
              <w:jc w:val="both"/>
              <w:rPr>
                <w:rFonts w:ascii="Verdana" w:hAnsi="Verdana"/>
                <w:sz w:val="20"/>
                <w:szCs w:val="20"/>
              </w:rPr>
            </w:pPr>
            <w:r w:rsidRPr="008314AF">
              <w:rPr>
                <w:rFonts w:ascii="Verdana" w:hAnsi="Verdana"/>
                <w:sz w:val="20"/>
                <w:szCs w:val="20"/>
              </w:rPr>
              <w:t>Suorahankinta voidaan tehdä vain direktiivissä mainituilla perusteilla</w:t>
            </w:r>
            <w:r w:rsidR="00E22695">
              <w:rPr>
                <w:rFonts w:ascii="Verdana" w:hAnsi="Verdana"/>
                <w:sz w:val="20"/>
                <w:szCs w:val="20"/>
              </w:rPr>
              <w:t>.</w:t>
            </w:r>
          </w:p>
          <w:p w14:paraId="0CFC1C86" w14:textId="77777777" w:rsidR="00154E0E" w:rsidRPr="00154E0E" w:rsidRDefault="00C16464" w:rsidP="00C16464">
            <w:pPr>
              <w:pStyle w:val="Luettelokappale"/>
              <w:numPr>
                <w:ilvl w:val="0"/>
                <w:numId w:val="25"/>
              </w:numPr>
              <w:jc w:val="both"/>
              <w:rPr>
                <w:rFonts w:ascii="Verdana" w:hAnsi="Verdana"/>
                <w:b/>
                <w:sz w:val="20"/>
                <w:szCs w:val="20"/>
              </w:rPr>
            </w:pPr>
            <w:r>
              <w:rPr>
                <w:rFonts w:ascii="Verdana" w:hAnsi="Verdana"/>
                <w:sz w:val="20"/>
                <w:szCs w:val="20"/>
              </w:rPr>
              <w:t>H</w:t>
            </w:r>
            <w:r w:rsidR="008314AF" w:rsidRPr="008314AF">
              <w:rPr>
                <w:rFonts w:ascii="Verdana" w:hAnsi="Verdana"/>
                <w:sz w:val="20"/>
                <w:szCs w:val="20"/>
              </w:rPr>
              <w:t>ankintalain 41.1 §:n mukainen suorahankinta</w:t>
            </w:r>
            <w:r>
              <w:rPr>
                <w:rFonts w:ascii="Verdana" w:hAnsi="Verdana"/>
                <w:sz w:val="20"/>
                <w:szCs w:val="20"/>
              </w:rPr>
              <w:t xml:space="preserve"> ei</w:t>
            </w:r>
            <w:r w:rsidR="008314AF" w:rsidRPr="008314AF">
              <w:rPr>
                <w:rFonts w:ascii="Verdana" w:hAnsi="Verdana"/>
                <w:sz w:val="20"/>
                <w:szCs w:val="20"/>
              </w:rPr>
              <w:t xml:space="preserve"> ole mahdollinen, jos lisätilauksen voisi toteuttaa useampi toimija markkinoilla</w:t>
            </w:r>
            <w:r w:rsidR="003D5416">
              <w:rPr>
                <w:rFonts w:ascii="Verdana" w:hAnsi="Verdana"/>
                <w:sz w:val="20"/>
                <w:szCs w:val="20"/>
              </w:rPr>
              <w:t>.</w:t>
            </w:r>
            <w:r w:rsidR="003D5416">
              <w:rPr>
                <w:rStyle w:val="Alaviitteenviite"/>
                <w:rFonts w:ascii="Verdana" w:hAnsi="Verdana"/>
                <w:sz w:val="20"/>
                <w:szCs w:val="20"/>
              </w:rPr>
              <w:footnoteReference w:id="3"/>
            </w:r>
          </w:p>
          <w:p w14:paraId="37F4CA64" w14:textId="5FB68C6A" w:rsidR="00C16464" w:rsidRPr="00C16464" w:rsidRDefault="00154E0E" w:rsidP="00154E0E">
            <w:pPr>
              <w:pStyle w:val="Luettelokappale"/>
              <w:numPr>
                <w:ilvl w:val="0"/>
                <w:numId w:val="25"/>
              </w:numPr>
              <w:jc w:val="both"/>
              <w:rPr>
                <w:rFonts w:ascii="Verdana" w:hAnsi="Verdana"/>
                <w:b/>
                <w:sz w:val="20"/>
                <w:szCs w:val="20"/>
              </w:rPr>
            </w:pPr>
            <w:r>
              <w:rPr>
                <w:rFonts w:ascii="Verdana" w:hAnsi="Verdana"/>
                <w:sz w:val="20"/>
                <w:szCs w:val="20"/>
              </w:rPr>
              <w:t xml:space="preserve">Hankintalain 41.2 §:n mukainen suorahankinta ei ole mahdollinen, jos hankinnassa on kyse esimerkiksi kokonaan uudesta palvelusta. Tapauksessa </w:t>
            </w:r>
            <w:r w:rsidRPr="00154E0E">
              <w:rPr>
                <w:rFonts w:ascii="Verdana" w:hAnsi="Verdana"/>
                <w:sz w:val="20"/>
                <w:szCs w:val="20"/>
              </w:rPr>
              <w:t>MAO 551/10</w:t>
            </w:r>
            <w:r>
              <w:rPr>
                <w:rFonts w:ascii="Verdana" w:hAnsi="Verdana"/>
                <w:sz w:val="20"/>
                <w:szCs w:val="20"/>
              </w:rPr>
              <w:t xml:space="preserve">, </w:t>
            </w:r>
            <w:r w:rsidRPr="00154E0E">
              <w:rPr>
                <w:rFonts w:ascii="Verdana" w:hAnsi="Verdana"/>
                <w:sz w:val="20"/>
                <w:szCs w:val="20"/>
              </w:rPr>
              <w:t>MAO totesi, että hankinnassa oli ollut kysymys lisäliikenteestä uudella reitillä eikä lisäpalvelusta linjalla 7. Reittiä Keskustori–Siivikkala koskevien kuljetuspalvelujen suorahankinnassa</w:t>
            </w:r>
            <w:r>
              <w:rPr>
                <w:rFonts w:ascii="Verdana" w:hAnsi="Verdana"/>
                <w:sz w:val="20"/>
                <w:szCs w:val="20"/>
              </w:rPr>
              <w:t xml:space="preserve"> siten</w:t>
            </w:r>
            <w:r w:rsidRPr="00154E0E">
              <w:rPr>
                <w:rFonts w:ascii="Verdana" w:hAnsi="Verdana"/>
                <w:sz w:val="20"/>
                <w:szCs w:val="20"/>
              </w:rPr>
              <w:t xml:space="preserve"> ei ollut kysymys hankintalain 28 §:n 3 momentissa säädetystä tilanteesta, jossa hankintayksikkö hankkii alkuperäiseltä toimittajalta palvelun, joka </w:t>
            </w:r>
            <w:r w:rsidRPr="00154E0E">
              <w:rPr>
                <w:rFonts w:ascii="Verdana" w:hAnsi="Verdana"/>
                <w:b/>
                <w:sz w:val="20"/>
                <w:szCs w:val="20"/>
              </w:rPr>
              <w:t>vastaa aikaisemmin kilpailutettua palveluhankintaa</w:t>
            </w:r>
            <w:r>
              <w:rPr>
                <w:rFonts w:ascii="Verdana" w:hAnsi="Verdana"/>
                <w:b/>
                <w:sz w:val="20"/>
                <w:szCs w:val="20"/>
              </w:rPr>
              <w:t>.</w:t>
            </w:r>
          </w:p>
          <w:p w14:paraId="518E18E4" w14:textId="77777777" w:rsidR="00C16464" w:rsidRPr="00C16464" w:rsidRDefault="00C16464" w:rsidP="00C16464">
            <w:pPr>
              <w:pStyle w:val="Luettelokappale"/>
              <w:rPr>
                <w:rFonts w:ascii="Verdana" w:hAnsi="Verdana"/>
                <w:b/>
                <w:sz w:val="20"/>
                <w:szCs w:val="20"/>
              </w:rPr>
            </w:pPr>
          </w:p>
          <w:p w14:paraId="5F3F7BB4" w14:textId="74F967C2" w:rsidR="0067107E" w:rsidRPr="00354C22" w:rsidRDefault="00354C22" w:rsidP="0067107E">
            <w:pPr>
              <w:jc w:val="both"/>
              <w:rPr>
                <w:rFonts w:ascii="Verdana" w:hAnsi="Verdana"/>
                <w:b/>
                <w:sz w:val="20"/>
                <w:szCs w:val="20"/>
              </w:rPr>
            </w:pPr>
            <w:r>
              <w:rPr>
                <w:rFonts w:ascii="Verdana" w:hAnsi="Verdana"/>
                <w:b/>
                <w:sz w:val="20"/>
                <w:szCs w:val="20"/>
              </w:rPr>
              <w:t>Esimerkkianalyysit</w:t>
            </w:r>
          </w:p>
          <w:p w14:paraId="210B9FB2" w14:textId="77777777" w:rsidR="0067107E" w:rsidRPr="00A17A64" w:rsidRDefault="0067107E" w:rsidP="0067107E">
            <w:pPr>
              <w:jc w:val="both"/>
              <w:rPr>
                <w:rFonts w:ascii="Verdana" w:hAnsi="Verdana"/>
                <w:sz w:val="20"/>
                <w:szCs w:val="20"/>
              </w:rPr>
            </w:pPr>
          </w:p>
          <w:p w14:paraId="766DE0AC" w14:textId="52E23395" w:rsidR="0067107E" w:rsidRPr="007C50A4" w:rsidRDefault="00D0769D" w:rsidP="0067107E">
            <w:pPr>
              <w:rPr>
                <w:rStyle w:val="Hyperlinkki"/>
                <w:rFonts w:ascii="Verdana" w:hAnsi="Verdana"/>
                <w:color w:val="auto"/>
                <w:sz w:val="20"/>
                <w:szCs w:val="20"/>
                <w:u w:val="none"/>
              </w:rPr>
            </w:pPr>
            <w:hyperlink r:id="rId27" w:history="1">
              <w:r w:rsidR="0067107E" w:rsidRPr="00A17A64">
                <w:rPr>
                  <w:rStyle w:val="Hyperlinkki"/>
                  <w:rFonts w:ascii="Verdana" w:hAnsi="Verdana"/>
                  <w:sz w:val="20"/>
                  <w:szCs w:val="20"/>
                </w:rPr>
                <w:t>MAO:663/16</w:t>
              </w:r>
            </w:hyperlink>
            <w:r w:rsidR="007C50A4" w:rsidRPr="007C50A4">
              <w:rPr>
                <w:rStyle w:val="Hyperlinkki"/>
                <w:rFonts w:ascii="Verdana" w:hAnsi="Verdana"/>
                <w:sz w:val="20"/>
                <w:szCs w:val="20"/>
                <w:u w:val="none"/>
              </w:rPr>
              <w:t xml:space="preserve"> </w:t>
            </w:r>
            <w:r w:rsidR="007C50A4">
              <w:rPr>
                <w:rStyle w:val="Hyperlinkki"/>
                <w:rFonts w:ascii="Verdana" w:hAnsi="Verdana"/>
                <w:color w:val="auto"/>
                <w:sz w:val="20"/>
                <w:szCs w:val="20"/>
                <w:u w:val="none"/>
              </w:rPr>
              <w:t>(Hankintalain 41 §:</w:t>
            </w:r>
            <w:r w:rsidR="007C50A4" w:rsidRPr="007C50A4">
              <w:rPr>
                <w:rStyle w:val="Hyperlinkki"/>
                <w:rFonts w:ascii="Verdana" w:hAnsi="Verdana"/>
                <w:color w:val="auto"/>
                <w:sz w:val="20"/>
                <w:szCs w:val="20"/>
                <w:u w:val="none"/>
              </w:rPr>
              <w:t>n 1 momentin vaatimukset huomioiva tilanne)</w:t>
            </w:r>
          </w:p>
          <w:p w14:paraId="783F5255" w14:textId="7987A320" w:rsidR="009D268D" w:rsidRDefault="009D268D" w:rsidP="0067107E">
            <w:pPr>
              <w:rPr>
                <w:rFonts w:ascii="Verdana" w:hAnsi="Verdana"/>
                <w:b/>
                <w:sz w:val="20"/>
                <w:szCs w:val="20"/>
              </w:rPr>
            </w:pPr>
          </w:p>
          <w:p w14:paraId="6389F62A" w14:textId="650910D0" w:rsidR="002C75A7" w:rsidRPr="002C75A7" w:rsidRDefault="002C75A7" w:rsidP="0067107E">
            <w:pPr>
              <w:rPr>
                <w:rFonts w:ascii="Verdana" w:hAnsi="Verdana"/>
                <w:b/>
                <w:sz w:val="20"/>
                <w:szCs w:val="20"/>
              </w:rPr>
            </w:pPr>
            <w:r w:rsidRPr="002C75A7">
              <w:rPr>
                <w:rFonts w:ascii="Verdana" w:hAnsi="Verdana"/>
                <w:b/>
                <w:sz w:val="20"/>
                <w:szCs w:val="20"/>
              </w:rPr>
              <w:t>Taustaa</w:t>
            </w:r>
          </w:p>
          <w:p w14:paraId="27D6F65F" w14:textId="77777777" w:rsidR="002C75A7" w:rsidRPr="002C75A7" w:rsidRDefault="002C75A7" w:rsidP="0067107E">
            <w:pPr>
              <w:rPr>
                <w:rFonts w:ascii="Verdana" w:hAnsi="Verdana"/>
                <w:sz w:val="20"/>
                <w:szCs w:val="20"/>
              </w:rPr>
            </w:pPr>
          </w:p>
          <w:p w14:paraId="1A2901C8" w14:textId="256AC3FA" w:rsidR="0067107E" w:rsidRPr="00A17A64" w:rsidRDefault="0067107E" w:rsidP="0067107E">
            <w:pPr>
              <w:rPr>
                <w:rFonts w:ascii="Verdana" w:hAnsi="Verdana"/>
                <w:sz w:val="20"/>
                <w:szCs w:val="20"/>
              </w:rPr>
            </w:pPr>
            <w:r w:rsidRPr="00A17A64">
              <w:rPr>
                <w:rFonts w:ascii="Verdana" w:hAnsi="Verdana"/>
                <w:sz w:val="20"/>
                <w:szCs w:val="20"/>
              </w:rPr>
              <w:t>Hankintayksikkö oli tehnyt suorahankinnan rakennusvalvonnan sähköisestä lupasovelluksesta, joka liittyi olemassa olevan paikkatietojärjestelmän laajentamiseen. Hankintapäätöksessä oli mainittu, että valittavana oli ollut vain kaksi sähköisen lupapalvelun toimijaa, joista oli saatu hyvät käyttökokemukset ja myös sitovat hankintahintatarjoukset. Hankintapäätöksen mukaan näitä kahta järjestelmää oli vertailtu ja vertailussa oli huomioitu järjestelmän hinta, käytettävyys ja yhteensopivuus hankintayksikön taustajärjestelmän kanssa. Hankintapäätöksen perustelujen mukaan valitun tarjoajan hankintahinta oli ollut alhaisempi ja järjestelmän käytettävyys ja yhteensopivuus luotettavampi taustajärjestelmän kanssa. Hankintayksikkö oli myöhemmin oikaissut tekemäänsä hankintapäätöstä ja lopputulosta muuttamatta laajentanut päätöksen perusteluja mm. viittaamalla suorahankinnan osalta hankintalain lisätilaus-perusteeseen.</w:t>
            </w:r>
          </w:p>
          <w:p w14:paraId="5DCC2E46" w14:textId="30B0AD03" w:rsidR="002C75A7" w:rsidRPr="002C75A7" w:rsidRDefault="002C75A7" w:rsidP="0067107E">
            <w:pPr>
              <w:rPr>
                <w:rFonts w:ascii="Verdana" w:hAnsi="Verdana"/>
                <w:b/>
                <w:sz w:val="20"/>
                <w:szCs w:val="20"/>
              </w:rPr>
            </w:pPr>
            <w:proofErr w:type="spellStart"/>
            <w:r>
              <w:rPr>
                <w:rFonts w:ascii="Verdana" w:hAnsi="Verdana"/>
                <w:b/>
                <w:sz w:val="20"/>
                <w:szCs w:val="20"/>
              </w:rPr>
              <w:t>MAO:n</w:t>
            </w:r>
            <w:proofErr w:type="spellEnd"/>
            <w:r>
              <w:rPr>
                <w:rFonts w:ascii="Verdana" w:hAnsi="Verdana"/>
                <w:b/>
                <w:sz w:val="20"/>
                <w:szCs w:val="20"/>
              </w:rPr>
              <w:t xml:space="preserve"> ratkaisu</w:t>
            </w:r>
          </w:p>
          <w:p w14:paraId="1962582E" w14:textId="77777777" w:rsidR="002C75A7" w:rsidRDefault="002C75A7" w:rsidP="0067107E">
            <w:pPr>
              <w:rPr>
                <w:rFonts w:ascii="Verdana" w:hAnsi="Verdana"/>
                <w:sz w:val="20"/>
                <w:szCs w:val="20"/>
              </w:rPr>
            </w:pPr>
          </w:p>
          <w:p w14:paraId="770F9CA5" w14:textId="6ADA8FD1" w:rsidR="001C75C4" w:rsidRDefault="003B6736" w:rsidP="0067107E">
            <w:pPr>
              <w:rPr>
                <w:rFonts w:ascii="Verdana" w:hAnsi="Verdana"/>
                <w:sz w:val="20"/>
                <w:szCs w:val="20"/>
              </w:rPr>
            </w:pPr>
            <w:r>
              <w:rPr>
                <w:rFonts w:ascii="Verdana" w:hAnsi="Verdana"/>
                <w:sz w:val="20"/>
                <w:szCs w:val="20"/>
              </w:rPr>
              <w:t xml:space="preserve">MAO </w:t>
            </w:r>
            <w:r w:rsidR="0067107E" w:rsidRPr="00A17A64">
              <w:rPr>
                <w:rFonts w:ascii="Verdana" w:hAnsi="Verdana"/>
                <w:sz w:val="20"/>
                <w:szCs w:val="20"/>
              </w:rPr>
              <w:t>totesi, että hankintayksikön suorittama järjestelmien vertailu osoitti, että järjestelmälle oli ollut ainakin kaksi mahdollista toimittajaa. Hankintayksikkö ei ollut edes väittänyt, että muun kuin valitun tarjoajan järjestelmän valitseminen johtaisi yhteensopimattomuuteen. Asiassa ei myöskään ilmennyt, että toimituksen laajentamisen yhteydessä tapahtuva toimittajan vaihtaminen johtaisi suhteettoman suuriin teknisiin vaikeuksiin.</w:t>
            </w:r>
            <w:r w:rsidR="0067107E" w:rsidRPr="00A17A64">
              <w:rPr>
                <w:rFonts w:ascii="Verdana" w:hAnsi="Verdana"/>
                <w:color w:val="373541"/>
                <w:sz w:val="20"/>
                <w:szCs w:val="20"/>
                <w:shd w:val="clear" w:color="auto" w:fill="FFFFFF"/>
              </w:rPr>
              <w:t xml:space="preserve"> </w:t>
            </w:r>
            <w:r>
              <w:rPr>
                <w:rFonts w:ascii="Verdana" w:hAnsi="Verdana"/>
                <w:sz w:val="20"/>
                <w:szCs w:val="20"/>
              </w:rPr>
              <w:t xml:space="preserve">MAO </w:t>
            </w:r>
            <w:r w:rsidR="0067107E" w:rsidRPr="00A17A64">
              <w:rPr>
                <w:rFonts w:ascii="Verdana" w:hAnsi="Verdana"/>
                <w:sz w:val="20"/>
                <w:szCs w:val="20"/>
              </w:rPr>
              <w:t>katsoi, että suorahankinnalle ei ollut esitetty hankintalain mukaisia perusteita.</w:t>
            </w:r>
          </w:p>
          <w:p w14:paraId="7ED1C5D5" w14:textId="64E70D86" w:rsidR="009869B0" w:rsidRDefault="009869B0" w:rsidP="0067107E">
            <w:pPr>
              <w:rPr>
                <w:rFonts w:ascii="Verdana" w:hAnsi="Verdana"/>
                <w:sz w:val="20"/>
                <w:szCs w:val="20"/>
              </w:rPr>
            </w:pPr>
          </w:p>
          <w:p w14:paraId="00C9457E" w14:textId="77777777" w:rsidR="001C75C4" w:rsidRPr="00A17A64" w:rsidRDefault="001C75C4" w:rsidP="0067107E">
            <w:pPr>
              <w:rPr>
                <w:rFonts w:ascii="Verdana" w:hAnsi="Verdana"/>
                <w:noProof/>
                <w:sz w:val="20"/>
                <w:szCs w:val="20"/>
              </w:rPr>
            </w:pPr>
          </w:p>
          <w:p w14:paraId="66229CBA" w14:textId="2044E7B1" w:rsidR="0067107E" w:rsidRDefault="0067107E" w:rsidP="0067107E">
            <w:pPr>
              <w:rPr>
                <w:noProof/>
              </w:rPr>
            </w:pPr>
            <w:r w:rsidRPr="00906FFA">
              <w:rPr>
                <w:rFonts w:ascii="Verdana" w:hAnsi="Verdana"/>
                <w:noProof/>
                <w:sz w:val="20"/>
                <w:szCs w:val="20"/>
                <w:lang w:eastAsia="fi-FI"/>
              </w:rPr>
              <w:drawing>
                <wp:inline distT="0" distB="0" distL="0" distR="0" wp14:anchorId="0E794347" wp14:editId="1D55083D">
                  <wp:extent cx="5533901" cy="4963885"/>
                  <wp:effectExtent l="0" t="0" r="0" b="8255"/>
                  <wp:docPr id="3" name="Kaaviokuv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A461BDF" w14:textId="791DBCC6" w:rsidR="0067107E" w:rsidRDefault="0067107E" w:rsidP="0067107E">
            <w:pPr>
              <w:rPr>
                <w:noProof/>
              </w:rPr>
            </w:pPr>
          </w:p>
          <w:p w14:paraId="54726079" w14:textId="79016EBA" w:rsidR="0067107E" w:rsidRDefault="0067107E" w:rsidP="0067107E">
            <w:pPr>
              <w:jc w:val="both"/>
              <w:rPr>
                <w:rFonts w:ascii="Verdana" w:hAnsi="Verdana"/>
                <w:sz w:val="20"/>
                <w:szCs w:val="20"/>
              </w:rPr>
            </w:pPr>
          </w:p>
          <w:p w14:paraId="55F3C2A1" w14:textId="77777777" w:rsidR="00726D5B" w:rsidRDefault="00D0769D" w:rsidP="00726D5B">
            <w:pPr>
              <w:jc w:val="both"/>
              <w:rPr>
                <w:rFonts w:ascii="Verdana" w:hAnsi="Verdana"/>
                <w:sz w:val="20"/>
                <w:szCs w:val="20"/>
              </w:rPr>
            </w:pPr>
            <w:hyperlink r:id="rId33" w:history="1">
              <w:r w:rsidR="00726D5B" w:rsidRPr="000D0297">
                <w:rPr>
                  <w:rStyle w:val="Hyperlinkki"/>
                  <w:rFonts w:ascii="Verdana" w:hAnsi="Verdana"/>
                  <w:sz w:val="20"/>
                  <w:szCs w:val="20"/>
                </w:rPr>
                <w:t>MAO:75/16</w:t>
              </w:r>
            </w:hyperlink>
          </w:p>
          <w:p w14:paraId="037E6E7D" w14:textId="77777777" w:rsidR="00726D5B" w:rsidRDefault="00726D5B" w:rsidP="00726D5B">
            <w:pPr>
              <w:jc w:val="both"/>
              <w:rPr>
                <w:rFonts w:ascii="Verdana" w:hAnsi="Verdana"/>
                <w:b/>
                <w:sz w:val="20"/>
                <w:szCs w:val="20"/>
              </w:rPr>
            </w:pPr>
          </w:p>
          <w:p w14:paraId="24615647" w14:textId="77777777" w:rsidR="00726D5B" w:rsidRDefault="00726D5B" w:rsidP="00726D5B">
            <w:pPr>
              <w:jc w:val="both"/>
              <w:rPr>
                <w:rFonts w:ascii="Verdana" w:hAnsi="Verdana"/>
                <w:b/>
                <w:sz w:val="20"/>
                <w:szCs w:val="20"/>
              </w:rPr>
            </w:pPr>
            <w:r w:rsidRPr="003B1086">
              <w:rPr>
                <w:rFonts w:ascii="Verdana" w:hAnsi="Verdana"/>
                <w:b/>
                <w:sz w:val="20"/>
                <w:szCs w:val="20"/>
              </w:rPr>
              <w:t>Taustaa</w:t>
            </w:r>
          </w:p>
          <w:p w14:paraId="4537A35B" w14:textId="77777777" w:rsidR="00726D5B" w:rsidRPr="003B1086" w:rsidRDefault="00726D5B" w:rsidP="00726D5B">
            <w:pPr>
              <w:jc w:val="both"/>
              <w:rPr>
                <w:rFonts w:ascii="Verdana" w:hAnsi="Verdana"/>
                <w:b/>
                <w:sz w:val="20"/>
                <w:szCs w:val="20"/>
              </w:rPr>
            </w:pPr>
          </w:p>
          <w:p w14:paraId="0282B16E" w14:textId="77777777" w:rsidR="00726D5B" w:rsidRDefault="00726D5B" w:rsidP="00726D5B">
            <w:pPr>
              <w:jc w:val="both"/>
              <w:rPr>
                <w:rFonts w:ascii="Verdana" w:hAnsi="Verdana"/>
                <w:sz w:val="20"/>
                <w:szCs w:val="20"/>
              </w:rPr>
            </w:pPr>
            <w:r>
              <w:rPr>
                <w:rFonts w:ascii="Verdana" w:hAnsi="Verdana"/>
                <w:sz w:val="20"/>
                <w:szCs w:val="20"/>
              </w:rPr>
              <w:t xml:space="preserve">Hankintayksikkö </w:t>
            </w:r>
            <w:r w:rsidRPr="000D0297">
              <w:rPr>
                <w:rFonts w:ascii="Verdana" w:hAnsi="Verdana"/>
                <w:sz w:val="20"/>
                <w:szCs w:val="20"/>
              </w:rPr>
              <w:t>oli</w:t>
            </w:r>
            <w:r>
              <w:rPr>
                <w:rFonts w:ascii="Verdana" w:hAnsi="Verdana"/>
                <w:sz w:val="20"/>
                <w:szCs w:val="20"/>
              </w:rPr>
              <w:t xml:space="preserve"> </w:t>
            </w:r>
            <w:r w:rsidRPr="000D0297">
              <w:rPr>
                <w:rFonts w:ascii="Verdana" w:hAnsi="Verdana"/>
                <w:sz w:val="20"/>
                <w:szCs w:val="20"/>
              </w:rPr>
              <w:t>tehnyt</w:t>
            </w:r>
            <w:r>
              <w:rPr>
                <w:rFonts w:ascii="Verdana" w:hAnsi="Verdana"/>
                <w:sz w:val="20"/>
                <w:szCs w:val="20"/>
              </w:rPr>
              <w:t xml:space="preserve"> vuonna 2014</w:t>
            </w:r>
            <w:r w:rsidRPr="000D0297">
              <w:rPr>
                <w:rFonts w:ascii="Verdana" w:hAnsi="Verdana"/>
                <w:sz w:val="20"/>
                <w:szCs w:val="20"/>
              </w:rPr>
              <w:t xml:space="preserve"> kilpailutuksen ja hankintapäätöksen </w:t>
            </w:r>
            <w:r>
              <w:rPr>
                <w:rFonts w:ascii="Verdana" w:hAnsi="Verdana"/>
                <w:sz w:val="20"/>
                <w:szCs w:val="20"/>
              </w:rPr>
              <w:t>henkilö</w:t>
            </w:r>
            <w:r w:rsidRPr="000D0297">
              <w:rPr>
                <w:rFonts w:ascii="Verdana" w:hAnsi="Verdana"/>
                <w:sz w:val="20"/>
                <w:szCs w:val="20"/>
              </w:rPr>
              <w:t xml:space="preserve">kuljetuksista vuoden ajalle sekä mahdollisen optiovuoden ajalle. Hankintapäätöksestä ei valitettu. Noin vuoden kuluttua </w:t>
            </w:r>
            <w:r>
              <w:rPr>
                <w:rFonts w:ascii="Verdana" w:hAnsi="Verdana"/>
                <w:sz w:val="20"/>
                <w:szCs w:val="20"/>
              </w:rPr>
              <w:t xml:space="preserve">hankintayksikkö </w:t>
            </w:r>
            <w:r w:rsidRPr="000D0297">
              <w:rPr>
                <w:rFonts w:ascii="Verdana" w:hAnsi="Verdana"/>
                <w:sz w:val="20"/>
                <w:szCs w:val="20"/>
              </w:rPr>
              <w:t>teki uuden päätöksen siitä, että optiokausi otetaan käyttöön viiden kuukauden ajaksi.</w:t>
            </w:r>
          </w:p>
          <w:p w14:paraId="6ADD747E" w14:textId="77777777" w:rsidR="00726D5B" w:rsidRPr="000D0297" w:rsidRDefault="00726D5B" w:rsidP="00726D5B">
            <w:pPr>
              <w:jc w:val="both"/>
              <w:rPr>
                <w:rFonts w:ascii="Verdana" w:hAnsi="Verdana"/>
                <w:sz w:val="20"/>
                <w:szCs w:val="20"/>
              </w:rPr>
            </w:pPr>
          </w:p>
          <w:p w14:paraId="4CCAF412" w14:textId="77777777" w:rsidR="00726D5B" w:rsidRDefault="00726D5B" w:rsidP="00726D5B">
            <w:pPr>
              <w:jc w:val="both"/>
              <w:rPr>
                <w:rFonts w:ascii="Verdana" w:hAnsi="Verdana"/>
                <w:sz w:val="20"/>
                <w:szCs w:val="20"/>
              </w:rPr>
            </w:pPr>
            <w:r w:rsidRPr="000D0297">
              <w:rPr>
                <w:rFonts w:ascii="Verdana" w:hAnsi="Verdana"/>
                <w:sz w:val="20"/>
                <w:szCs w:val="20"/>
              </w:rPr>
              <w:t xml:space="preserve">Valittaja, joka oli yksi alkuperäisen kisan tarjoajista, piti ongelmallisena sitä, että </w:t>
            </w:r>
            <w:r w:rsidRPr="003B1086">
              <w:rPr>
                <w:rFonts w:ascii="Verdana" w:hAnsi="Verdana"/>
                <w:b/>
                <w:sz w:val="20"/>
                <w:szCs w:val="20"/>
              </w:rPr>
              <w:t>hankintasopimuksessa</w:t>
            </w:r>
            <w:r w:rsidRPr="000D0297">
              <w:rPr>
                <w:rFonts w:ascii="Verdana" w:hAnsi="Verdana"/>
                <w:sz w:val="20"/>
                <w:szCs w:val="20"/>
              </w:rPr>
              <w:t xml:space="preserve"> ei ollut mainintaa option käytöstä. Valittajan mielestä optiossa oli kyse uudesta palveluhankinnasta. </w:t>
            </w:r>
          </w:p>
          <w:p w14:paraId="21022F7B" w14:textId="77777777" w:rsidR="00726D5B" w:rsidRDefault="00726D5B" w:rsidP="00726D5B">
            <w:pPr>
              <w:jc w:val="both"/>
              <w:rPr>
                <w:rFonts w:ascii="Verdana" w:hAnsi="Verdana"/>
                <w:sz w:val="20"/>
                <w:szCs w:val="20"/>
              </w:rPr>
            </w:pPr>
          </w:p>
          <w:p w14:paraId="6BE44C76" w14:textId="77777777" w:rsidR="00726D5B" w:rsidRDefault="00726D5B" w:rsidP="00726D5B">
            <w:pPr>
              <w:jc w:val="both"/>
              <w:rPr>
                <w:rFonts w:ascii="Verdana" w:hAnsi="Verdana"/>
                <w:b/>
                <w:sz w:val="20"/>
                <w:szCs w:val="20"/>
              </w:rPr>
            </w:pPr>
            <w:proofErr w:type="spellStart"/>
            <w:r>
              <w:rPr>
                <w:rFonts w:ascii="Verdana" w:hAnsi="Verdana"/>
                <w:b/>
                <w:sz w:val="20"/>
                <w:szCs w:val="20"/>
              </w:rPr>
              <w:t>MAO:n</w:t>
            </w:r>
            <w:proofErr w:type="spellEnd"/>
            <w:r>
              <w:rPr>
                <w:rFonts w:ascii="Verdana" w:hAnsi="Verdana"/>
                <w:b/>
                <w:sz w:val="20"/>
                <w:szCs w:val="20"/>
              </w:rPr>
              <w:t xml:space="preserve"> ratkaisu</w:t>
            </w:r>
          </w:p>
          <w:p w14:paraId="30562F59" w14:textId="77777777" w:rsidR="00726D5B" w:rsidRPr="003B1086" w:rsidRDefault="00726D5B" w:rsidP="00726D5B">
            <w:pPr>
              <w:jc w:val="both"/>
              <w:rPr>
                <w:rFonts w:ascii="Verdana" w:hAnsi="Verdana"/>
                <w:b/>
                <w:sz w:val="20"/>
                <w:szCs w:val="20"/>
              </w:rPr>
            </w:pPr>
          </w:p>
          <w:p w14:paraId="75633322" w14:textId="77777777" w:rsidR="00726D5B" w:rsidRPr="000D0297" w:rsidRDefault="00726D5B" w:rsidP="00726D5B">
            <w:pPr>
              <w:jc w:val="both"/>
              <w:rPr>
                <w:rFonts w:ascii="Verdana" w:hAnsi="Verdana"/>
                <w:sz w:val="20"/>
                <w:szCs w:val="20"/>
              </w:rPr>
            </w:pPr>
            <w:r w:rsidRPr="000D0297">
              <w:rPr>
                <w:rFonts w:ascii="Verdana" w:hAnsi="Verdana"/>
                <w:sz w:val="20"/>
                <w:szCs w:val="20"/>
              </w:rPr>
              <w:t xml:space="preserve">Kaupunki ei </w:t>
            </w:r>
            <w:proofErr w:type="spellStart"/>
            <w:r w:rsidRPr="000D0297">
              <w:rPr>
                <w:rFonts w:ascii="Verdana" w:hAnsi="Verdana"/>
                <w:sz w:val="20"/>
                <w:szCs w:val="20"/>
              </w:rPr>
              <w:t>MAO:n</w:t>
            </w:r>
            <w:proofErr w:type="spellEnd"/>
            <w:r w:rsidRPr="000D0297">
              <w:rPr>
                <w:rFonts w:ascii="Verdana" w:hAnsi="Verdana"/>
                <w:sz w:val="20"/>
                <w:szCs w:val="20"/>
              </w:rPr>
              <w:t xml:space="preserve"> mukaan ollut toiminut virheellisesti, koska optiosta oli ilmoitettu jo </w:t>
            </w:r>
            <w:r w:rsidRPr="003B1086">
              <w:rPr>
                <w:rFonts w:ascii="Verdana" w:hAnsi="Verdana"/>
                <w:sz w:val="20"/>
                <w:szCs w:val="20"/>
              </w:rPr>
              <w:t>alkuperäisessä</w:t>
            </w:r>
            <w:r w:rsidRPr="003B1086">
              <w:rPr>
                <w:rFonts w:ascii="Verdana" w:hAnsi="Verdana"/>
                <w:b/>
                <w:sz w:val="20"/>
                <w:szCs w:val="20"/>
              </w:rPr>
              <w:t xml:space="preserve"> hankintailmoituksessa</w:t>
            </w:r>
            <w:r w:rsidRPr="000D0297">
              <w:rPr>
                <w:rFonts w:ascii="Verdana" w:hAnsi="Verdana"/>
                <w:sz w:val="20"/>
                <w:szCs w:val="20"/>
              </w:rPr>
              <w:t xml:space="preserve"> ja option arvo oli laskettu mukaan hankinnan arvoon. </w:t>
            </w:r>
            <w:proofErr w:type="spellStart"/>
            <w:r w:rsidRPr="000D0297">
              <w:rPr>
                <w:rFonts w:ascii="Verdana" w:hAnsi="Verdana"/>
                <w:sz w:val="20"/>
                <w:szCs w:val="20"/>
              </w:rPr>
              <w:t>MAO:n</w:t>
            </w:r>
            <w:proofErr w:type="spellEnd"/>
            <w:r w:rsidRPr="000D0297">
              <w:rPr>
                <w:rFonts w:ascii="Verdana" w:hAnsi="Verdana"/>
                <w:sz w:val="20"/>
                <w:szCs w:val="20"/>
              </w:rPr>
              <w:t xml:space="preserve"> mukaan option käyttöönottopäätöksessä oli kyse hankintalain 28 §:n mukaisesta sallitusta suorahankintatilanteesta. Sillä ei ollut merkitystä, ettei sopimuksessa ollut mainintaa optiosta.</w:t>
            </w:r>
          </w:p>
          <w:p w14:paraId="38FC166E" w14:textId="052AA97D" w:rsidR="00A17A64" w:rsidRDefault="00A17A64" w:rsidP="00A17A64">
            <w:pPr>
              <w:rPr>
                <w:rFonts w:ascii="Verdana" w:hAnsi="Verdana"/>
                <w:sz w:val="20"/>
              </w:rPr>
            </w:pPr>
          </w:p>
          <w:p w14:paraId="50058AA8" w14:textId="450D5446" w:rsidR="00A17A64" w:rsidRDefault="00A17A64" w:rsidP="00A17A64">
            <w:pPr>
              <w:rPr>
                <w:rFonts w:ascii="Verdana" w:hAnsi="Verdana"/>
                <w:sz w:val="20"/>
              </w:rPr>
            </w:pPr>
          </w:p>
          <w:p w14:paraId="2B66DE0B" w14:textId="233B718A" w:rsidR="00A17A64" w:rsidRDefault="00A17A64" w:rsidP="00A17A64">
            <w:pPr>
              <w:rPr>
                <w:rFonts w:ascii="Verdana" w:hAnsi="Verdana"/>
                <w:sz w:val="20"/>
              </w:rPr>
            </w:pPr>
          </w:p>
          <w:p w14:paraId="3A7F7880" w14:textId="5B0A1676" w:rsidR="00A17A64" w:rsidRDefault="00A17A64" w:rsidP="00A17A64">
            <w:pPr>
              <w:rPr>
                <w:rFonts w:ascii="Verdana" w:hAnsi="Verdana"/>
                <w:sz w:val="20"/>
              </w:rPr>
            </w:pPr>
          </w:p>
          <w:p w14:paraId="2D0C83EF" w14:textId="35042945" w:rsidR="00A17A64" w:rsidRDefault="00A17A64" w:rsidP="00A17A64">
            <w:pPr>
              <w:rPr>
                <w:rFonts w:ascii="Verdana" w:hAnsi="Verdana"/>
                <w:sz w:val="20"/>
              </w:rPr>
            </w:pPr>
          </w:p>
          <w:p w14:paraId="7BB01E4B" w14:textId="047DA366" w:rsidR="004C325F" w:rsidRDefault="004C325F" w:rsidP="00A17A64">
            <w:pPr>
              <w:rPr>
                <w:rFonts w:ascii="Verdana" w:hAnsi="Verdana"/>
                <w:sz w:val="20"/>
              </w:rPr>
            </w:pPr>
          </w:p>
          <w:p w14:paraId="62F22BF6" w14:textId="5E0E24F4" w:rsidR="004C325F" w:rsidRDefault="004C325F" w:rsidP="00A17A64">
            <w:pPr>
              <w:rPr>
                <w:rFonts w:ascii="Verdana" w:hAnsi="Verdana"/>
                <w:sz w:val="20"/>
              </w:rPr>
            </w:pPr>
          </w:p>
          <w:p w14:paraId="5FAC933C" w14:textId="373E5E7A" w:rsidR="004C325F" w:rsidRDefault="004C325F" w:rsidP="00A17A64">
            <w:pPr>
              <w:rPr>
                <w:rFonts w:ascii="Verdana" w:hAnsi="Verdana"/>
                <w:sz w:val="20"/>
              </w:rPr>
            </w:pPr>
          </w:p>
          <w:p w14:paraId="6EBB44DC" w14:textId="5833848A" w:rsidR="004C325F" w:rsidRDefault="004C325F" w:rsidP="00A17A64">
            <w:pPr>
              <w:rPr>
                <w:rFonts w:ascii="Verdana" w:hAnsi="Verdana"/>
                <w:sz w:val="20"/>
              </w:rPr>
            </w:pPr>
          </w:p>
          <w:p w14:paraId="4B7097D8" w14:textId="576F1C90" w:rsidR="004C325F" w:rsidRDefault="004C325F" w:rsidP="00A17A64">
            <w:pPr>
              <w:rPr>
                <w:rFonts w:ascii="Verdana" w:hAnsi="Verdana"/>
                <w:sz w:val="20"/>
              </w:rPr>
            </w:pPr>
          </w:p>
          <w:p w14:paraId="5CA7938E" w14:textId="38303768" w:rsidR="004C325F" w:rsidRDefault="004C325F" w:rsidP="00A17A64">
            <w:pPr>
              <w:rPr>
                <w:rFonts w:ascii="Verdana" w:hAnsi="Verdana"/>
                <w:sz w:val="20"/>
              </w:rPr>
            </w:pPr>
          </w:p>
          <w:p w14:paraId="218ED5F3" w14:textId="62EB9946" w:rsidR="00A17A64" w:rsidRDefault="00A17A64" w:rsidP="00A17A64">
            <w:pPr>
              <w:rPr>
                <w:rFonts w:ascii="Verdana" w:hAnsi="Verdana"/>
                <w:sz w:val="20"/>
              </w:rPr>
            </w:pPr>
          </w:p>
          <w:p w14:paraId="72A40955" w14:textId="1A28AB09" w:rsidR="00A17A64" w:rsidRDefault="00A17A64" w:rsidP="00A17A64">
            <w:pPr>
              <w:rPr>
                <w:rFonts w:ascii="Verdana" w:hAnsi="Verdana"/>
                <w:sz w:val="20"/>
              </w:rPr>
            </w:pPr>
          </w:p>
          <w:p w14:paraId="4FABF342" w14:textId="73AA187F" w:rsidR="00A17A64" w:rsidRDefault="00A17A64" w:rsidP="00A17A64">
            <w:pPr>
              <w:rPr>
                <w:rFonts w:ascii="Verdana" w:hAnsi="Verdana"/>
                <w:sz w:val="20"/>
              </w:rPr>
            </w:pPr>
            <w:r w:rsidRPr="00906FFA">
              <w:rPr>
                <w:rFonts w:ascii="Verdana" w:hAnsi="Verdana"/>
                <w:noProof/>
                <w:sz w:val="20"/>
                <w:szCs w:val="20"/>
                <w:lang w:eastAsia="fi-FI"/>
              </w:rPr>
              <w:lastRenderedPageBreak/>
              <w:drawing>
                <wp:inline distT="0" distB="0" distL="0" distR="0" wp14:anchorId="5F7AC6DB" wp14:editId="33734E4C">
                  <wp:extent cx="5533901" cy="4963885"/>
                  <wp:effectExtent l="0" t="0" r="0" b="8255"/>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78662EC" w14:textId="52AE7813" w:rsidR="00A17A64" w:rsidRDefault="00A17A64" w:rsidP="00A17A64">
            <w:pPr>
              <w:rPr>
                <w:rFonts w:ascii="Verdana" w:hAnsi="Verdana"/>
                <w:sz w:val="20"/>
              </w:rPr>
            </w:pPr>
          </w:p>
          <w:p w14:paraId="0A41638C" w14:textId="3CADCA14" w:rsidR="00A17A64" w:rsidRDefault="00A17A64" w:rsidP="00A17A64">
            <w:pPr>
              <w:rPr>
                <w:rFonts w:ascii="Verdana" w:hAnsi="Verdana"/>
                <w:sz w:val="20"/>
              </w:rPr>
            </w:pPr>
          </w:p>
          <w:p w14:paraId="722E3CD3" w14:textId="77777777" w:rsidR="00A276D0" w:rsidRDefault="00A276D0" w:rsidP="00A17A64">
            <w:pPr>
              <w:rPr>
                <w:rFonts w:ascii="Verdana" w:hAnsi="Verdana"/>
                <w:sz w:val="20"/>
              </w:rPr>
            </w:pPr>
          </w:p>
          <w:p w14:paraId="2EFB4FA9" w14:textId="42017C07" w:rsidR="00CA6A43" w:rsidRPr="0067107E" w:rsidRDefault="00CA6A43" w:rsidP="0067107E">
            <w:pPr>
              <w:jc w:val="both"/>
              <w:rPr>
                <w:rFonts w:ascii="Verdana" w:hAnsi="Verdana"/>
                <w:sz w:val="20"/>
                <w:szCs w:val="20"/>
              </w:rPr>
            </w:pPr>
          </w:p>
        </w:tc>
      </w:tr>
      <w:tr w:rsidR="0063307E" w:rsidRPr="000D632E" w14:paraId="1F950D8B" w14:textId="77777777" w:rsidTr="00102935">
        <w:tc>
          <w:tcPr>
            <w:tcW w:w="13994" w:type="dxa"/>
            <w:gridSpan w:val="2"/>
            <w:shd w:val="clear" w:color="auto" w:fill="DEEAF6" w:themeFill="accent1" w:themeFillTint="33"/>
          </w:tcPr>
          <w:p w14:paraId="1AFE0F13" w14:textId="281FAD68" w:rsidR="000D632E" w:rsidRPr="000D632E" w:rsidRDefault="002A0DF1" w:rsidP="000D632E">
            <w:pPr>
              <w:jc w:val="center"/>
              <w:rPr>
                <w:rFonts w:ascii="Verdana" w:hAnsi="Verdana"/>
                <w:b/>
                <w:sz w:val="20"/>
                <w:szCs w:val="20"/>
              </w:rPr>
            </w:pPr>
            <w:r>
              <w:rPr>
                <w:rFonts w:ascii="Verdana" w:hAnsi="Verdana"/>
                <w:b/>
                <w:sz w:val="20"/>
                <w:szCs w:val="20"/>
              </w:rPr>
              <w:lastRenderedPageBreak/>
              <w:t>T</w:t>
            </w:r>
            <w:r w:rsidR="0063307E" w:rsidRPr="000D632E">
              <w:rPr>
                <w:rFonts w:ascii="Verdana" w:hAnsi="Verdana"/>
                <w:b/>
                <w:sz w:val="20"/>
                <w:szCs w:val="20"/>
              </w:rPr>
              <w:t>austatiedot</w:t>
            </w:r>
            <w:r w:rsidR="00B47260" w:rsidRPr="000D632E">
              <w:rPr>
                <w:rFonts w:ascii="Verdana" w:hAnsi="Verdana"/>
                <w:b/>
                <w:sz w:val="20"/>
                <w:szCs w:val="20"/>
              </w:rPr>
              <w:t xml:space="preserve"> (</w:t>
            </w:r>
            <w:r w:rsidR="006F062B">
              <w:rPr>
                <w:rFonts w:ascii="Verdana" w:hAnsi="Verdana"/>
                <w:b/>
                <w:sz w:val="20"/>
                <w:szCs w:val="20"/>
              </w:rPr>
              <w:t xml:space="preserve">lisätilaus-suorahankintaperusteeseen </w:t>
            </w:r>
            <w:r w:rsidR="00B47260" w:rsidRPr="000D632E">
              <w:rPr>
                <w:rFonts w:ascii="Verdana" w:hAnsi="Verdana"/>
                <w:b/>
                <w:sz w:val="20"/>
                <w:szCs w:val="20"/>
              </w:rPr>
              <w:t>liittyvä juridinen sääntelyaineisto)</w:t>
            </w:r>
          </w:p>
        </w:tc>
      </w:tr>
      <w:tr w:rsidR="0063307E" w:rsidRPr="000D632E" w14:paraId="5BD7C6B0" w14:textId="77777777" w:rsidTr="00E5306D">
        <w:tc>
          <w:tcPr>
            <w:tcW w:w="13994" w:type="dxa"/>
            <w:gridSpan w:val="2"/>
            <w:shd w:val="clear" w:color="auto" w:fill="FFFFFF" w:themeFill="background1"/>
          </w:tcPr>
          <w:p w14:paraId="72D2D8C5" w14:textId="5143EAE2" w:rsidR="006F062B" w:rsidRPr="006F062B" w:rsidRDefault="006F062B" w:rsidP="006F062B">
            <w:pPr>
              <w:jc w:val="both"/>
              <w:rPr>
                <w:rFonts w:ascii="Verdana" w:hAnsi="Verdana"/>
                <w:sz w:val="20"/>
                <w:szCs w:val="20"/>
              </w:rPr>
            </w:pPr>
            <w:r w:rsidRPr="006F062B">
              <w:rPr>
                <w:rFonts w:ascii="Verdana" w:hAnsi="Verdana"/>
                <w:sz w:val="20"/>
                <w:szCs w:val="20"/>
              </w:rPr>
              <w:t>Julkisista hankinnoista ja käyttöoikeussopimuksista annetun lai</w:t>
            </w:r>
            <w:r>
              <w:rPr>
                <w:rFonts w:ascii="Verdana" w:hAnsi="Verdana"/>
                <w:sz w:val="20"/>
                <w:szCs w:val="20"/>
              </w:rPr>
              <w:t>n (”hankintalaki”, 1397/2016) 41</w:t>
            </w:r>
            <w:r w:rsidRPr="006F062B">
              <w:rPr>
                <w:rFonts w:ascii="Verdana" w:hAnsi="Verdana"/>
                <w:sz w:val="20"/>
                <w:szCs w:val="20"/>
              </w:rPr>
              <w:t xml:space="preserve"> §:ssä säädetään suorahankinnan tekemisestä</w:t>
            </w:r>
            <w:r>
              <w:rPr>
                <w:rFonts w:ascii="Verdana" w:hAnsi="Verdana"/>
                <w:sz w:val="20"/>
                <w:szCs w:val="20"/>
              </w:rPr>
              <w:t xml:space="preserve"> lisätilauksena aiempaan hankintasopimukseen</w:t>
            </w:r>
            <w:r w:rsidRPr="006F062B">
              <w:rPr>
                <w:rFonts w:ascii="Verdana" w:hAnsi="Verdana"/>
                <w:sz w:val="20"/>
                <w:szCs w:val="20"/>
              </w:rPr>
              <w:t>.</w:t>
            </w:r>
          </w:p>
          <w:p w14:paraId="1DD2F1C8" w14:textId="3FB43AC0" w:rsidR="006F062B" w:rsidRDefault="006F062B" w:rsidP="006F062B">
            <w:pPr>
              <w:jc w:val="both"/>
              <w:rPr>
                <w:rFonts w:ascii="Verdana" w:hAnsi="Verdana"/>
                <w:b/>
                <w:sz w:val="20"/>
                <w:szCs w:val="20"/>
              </w:rPr>
            </w:pPr>
          </w:p>
          <w:p w14:paraId="003EA90D" w14:textId="21290FC2" w:rsidR="006F062B" w:rsidRDefault="006F062B" w:rsidP="006F062B">
            <w:pPr>
              <w:jc w:val="both"/>
              <w:rPr>
                <w:rFonts w:ascii="Verdana" w:hAnsi="Verdana"/>
                <w:sz w:val="20"/>
                <w:szCs w:val="20"/>
              </w:rPr>
            </w:pPr>
            <w:r>
              <w:rPr>
                <w:rFonts w:ascii="Verdana" w:hAnsi="Verdana"/>
                <w:sz w:val="20"/>
                <w:szCs w:val="20"/>
              </w:rPr>
              <w:t>Hankintalain 41 §:n mukaan:</w:t>
            </w:r>
          </w:p>
          <w:p w14:paraId="3F4E3A4D" w14:textId="77777777" w:rsidR="00186ED7" w:rsidRDefault="00186ED7" w:rsidP="006F062B">
            <w:pPr>
              <w:jc w:val="both"/>
              <w:rPr>
                <w:rFonts w:ascii="Verdana" w:hAnsi="Verdana"/>
                <w:sz w:val="20"/>
                <w:szCs w:val="20"/>
              </w:rPr>
            </w:pPr>
          </w:p>
          <w:p w14:paraId="3748A810" w14:textId="41970117" w:rsidR="006F062B" w:rsidRDefault="006F062B" w:rsidP="006F062B">
            <w:pPr>
              <w:ind w:left="567"/>
              <w:jc w:val="both"/>
              <w:rPr>
                <w:rFonts w:ascii="Verdana" w:hAnsi="Verdana"/>
                <w:b/>
                <w:sz w:val="20"/>
                <w:szCs w:val="20"/>
              </w:rPr>
            </w:pPr>
            <w:r>
              <w:rPr>
                <w:rFonts w:ascii="Verdana" w:hAnsi="Verdana"/>
                <w:sz w:val="20"/>
                <w:szCs w:val="20"/>
              </w:rPr>
              <w:t>”</w:t>
            </w:r>
            <w:r w:rsidRPr="006F062B">
              <w:rPr>
                <w:rFonts w:ascii="Verdana" w:hAnsi="Verdana"/>
                <w:b/>
                <w:sz w:val="20"/>
                <w:szCs w:val="20"/>
              </w:rPr>
              <w:t>Suorahankinta lisätilauksissa</w:t>
            </w:r>
          </w:p>
          <w:p w14:paraId="5911AD64" w14:textId="77777777" w:rsidR="006F062B" w:rsidRPr="006F062B" w:rsidRDefault="006F062B" w:rsidP="006F062B">
            <w:pPr>
              <w:ind w:left="567"/>
              <w:jc w:val="both"/>
              <w:rPr>
                <w:rFonts w:ascii="Verdana" w:hAnsi="Verdana"/>
                <w:sz w:val="20"/>
                <w:szCs w:val="20"/>
              </w:rPr>
            </w:pPr>
          </w:p>
          <w:p w14:paraId="796447CC" w14:textId="458529CB" w:rsidR="006F062B" w:rsidRDefault="006F062B" w:rsidP="006F062B">
            <w:pPr>
              <w:ind w:left="567"/>
              <w:jc w:val="both"/>
              <w:rPr>
                <w:rFonts w:ascii="Verdana" w:hAnsi="Verdana"/>
                <w:sz w:val="20"/>
                <w:szCs w:val="20"/>
              </w:rPr>
            </w:pPr>
            <w:r w:rsidRPr="006F062B">
              <w:rPr>
                <w:rFonts w:ascii="Verdana" w:hAnsi="Verdana"/>
                <w:sz w:val="20"/>
                <w:szCs w:val="20"/>
              </w:rPr>
              <w:t>Hankintayksikkö voi tehdä suorahankinnan, kun alkuperäisen toimittajan kanssa tehtävä tavarahankinta on lisätilaus, jonka tarkoituksena on aikaisemman toimituksen tai laitteiston osittainen korvaaminen tai laajentaminen. Edellytyksenä on, että toimittajan vaihtaminen johtaisi teknisiltä ominaisuuksiltaan erilaisen tavaran hankkimiseen, mikä aiheuttaisi yhteensopimattomuutta tai suhteettoman suuria teknisiä vaikeuksia käytössä ja kunnossapidossa. Tällaisten sopimusten ja uudistettavien sopimusten voimassaoloaika saa ainoastaan poikkeuksellisesti ylittää kolme vuotta.</w:t>
            </w:r>
          </w:p>
          <w:p w14:paraId="20A1311B" w14:textId="77777777" w:rsidR="006F062B" w:rsidRPr="006F062B" w:rsidRDefault="006F062B" w:rsidP="006F062B">
            <w:pPr>
              <w:ind w:left="567"/>
              <w:jc w:val="both"/>
              <w:rPr>
                <w:rFonts w:ascii="Verdana" w:hAnsi="Verdana"/>
                <w:sz w:val="20"/>
                <w:szCs w:val="20"/>
              </w:rPr>
            </w:pPr>
          </w:p>
          <w:p w14:paraId="17236315" w14:textId="689FCFEC" w:rsidR="006F062B" w:rsidRDefault="006F062B" w:rsidP="006F062B">
            <w:pPr>
              <w:ind w:left="567"/>
              <w:jc w:val="both"/>
              <w:rPr>
                <w:rFonts w:ascii="Verdana" w:hAnsi="Verdana"/>
                <w:sz w:val="20"/>
                <w:szCs w:val="20"/>
              </w:rPr>
            </w:pPr>
            <w:r w:rsidRPr="006F062B">
              <w:rPr>
                <w:rFonts w:ascii="Verdana" w:hAnsi="Verdana"/>
                <w:sz w:val="20"/>
                <w:szCs w:val="20"/>
              </w:rPr>
              <w:t>Sen lisäksi, mitä 1 momentissa säädetään, hankintayksikkö voi tehdä suorahankinnan, kun kyseessä on alkuperäisen toimittajan kanssa tehtävä uusi rakennusurakkasopimus tai palveluhankinta, joka vastaa aikaisemmin tehtyä rakennusurakkaa tai palveluhankintaa. Edellytyksenä on, että alkuperäistä hankintaa koskevassa hankintailmoituksessa on mainittu mahdollisesta myöhemmästä suorahankinnasta ja että lisäpalvelun tai uuden rakennusurakan ennakoitu arvo on otettu huomioon laskettaessa alkuperäisen sopimuksen kokonaisarvoa. Suorahankinta voidaan tehdä enintään kolmen vuoden kuluessa alkuperäisen sopimuksen tekemisestä.</w:t>
            </w:r>
            <w:r>
              <w:rPr>
                <w:rFonts w:ascii="Verdana" w:hAnsi="Verdana"/>
                <w:sz w:val="20"/>
                <w:szCs w:val="20"/>
              </w:rPr>
              <w:t>”</w:t>
            </w:r>
          </w:p>
          <w:p w14:paraId="55F8926F" w14:textId="7955CDCD" w:rsidR="006F062B" w:rsidRDefault="006F062B" w:rsidP="006F062B">
            <w:pPr>
              <w:ind w:left="567"/>
              <w:jc w:val="both"/>
              <w:rPr>
                <w:rFonts w:ascii="Verdana" w:hAnsi="Verdana"/>
                <w:sz w:val="20"/>
                <w:szCs w:val="20"/>
              </w:rPr>
            </w:pPr>
          </w:p>
          <w:p w14:paraId="6BC53019" w14:textId="33040330" w:rsidR="006F062B" w:rsidRPr="006F062B" w:rsidRDefault="006F062B" w:rsidP="006F062B">
            <w:pPr>
              <w:jc w:val="both"/>
              <w:rPr>
                <w:rFonts w:ascii="Verdana" w:hAnsi="Verdana"/>
                <w:sz w:val="20"/>
                <w:szCs w:val="20"/>
              </w:rPr>
            </w:pPr>
            <w:r>
              <w:rPr>
                <w:rFonts w:ascii="Verdana" w:hAnsi="Verdana"/>
                <w:sz w:val="20"/>
                <w:szCs w:val="20"/>
              </w:rPr>
              <w:t>Hankintalakia koskevan hallituksen esityksen (HE 108/2016 vp.) mukaan</w:t>
            </w:r>
            <w:r>
              <w:rPr>
                <w:rStyle w:val="Alaviitteenviite"/>
                <w:rFonts w:ascii="Verdana" w:hAnsi="Verdana"/>
                <w:sz w:val="20"/>
                <w:szCs w:val="20"/>
              </w:rPr>
              <w:footnoteReference w:id="4"/>
            </w:r>
            <w:r>
              <w:rPr>
                <w:rFonts w:ascii="Verdana" w:hAnsi="Verdana"/>
                <w:sz w:val="20"/>
                <w:szCs w:val="20"/>
              </w:rPr>
              <w:t>:</w:t>
            </w:r>
          </w:p>
          <w:p w14:paraId="09A89231" w14:textId="1C512C5B" w:rsidR="006F062B" w:rsidRPr="006F062B" w:rsidRDefault="006F062B" w:rsidP="006F062B">
            <w:pPr>
              <w:ind w:left="567"/>
              <w:jc w:val="both"/>
              <w:rPr>
                <w:rFonts w:ascii="Verdana" w:hAnsi="Verdana"/>
                <w:sz w:val="20"/>
                <w:szCs w:val="20"/>
              </w:rPr>
            </w:pPr>
          </w:p>
          <w:p w14:paraId="3C23157D" w14:textId="77777777" w:rsidR="006F062B" w:rsidRPr="006F062B" w:rsidRDefault="006F062B" w:rsidP="006F062B">
            <w:pPr>
              <w:ind w:left="567"/>
              <w:jc w:val="both"/>
              <w:rPr>
                <w:rFonts w:ascii="Verdana" w:hAnsi="Verdana"/>
                <w:sz w:val="20"/>
                <w:szCs w:val="20"/>
              </w:rPr>
            </w:pPr>
            <w:r w:rsidRPr="006F062B">
              <w:rPr>
                <w:rFonts w:ascii="Verdana" w:hAnsi="Verdana"/>
                <w:sz w:val="20"/>
                <w:szCs w:val="20"/>
              </w:rPr>
              <w:t xml:space="preserve">”Suorahankinta lisätilauksissa. </w:t>
            </w:r>
          </w:p>
          <w:p w14:paraId="35D4C4DD" w14:textId="77777777" w:rsidR="006F062B" w:rsidRPr="006F062B" w:rsidRDefault="006F062B" w:rsidP="006F062B">
            <w:pPr>
              <w:ind w:left="567"/>
              <w:jc w:val="both"/>
              <w:rPr>
                <w:rFonts w:ascii="Verdana" w:hAnsi="Verdana"/>
                <w:sz w:val="20"/>
                <w:szCs w:val="20"/>
              </w:rPr>
            </w:pPr>
          </w:p>
          <w:p w14:paraId="520E4358" w14:textId="77777777" w:rsidR="006F062B" w:rsidRDefault="006F062B" w:rsidP="006F062B">
            <w:pPr>
              <w:ind w:left="567"/>
              <w:jc w:val="both"/>
              <w:rPr>
                <w:rFonts w:ascii="Verdana" w:hAnsi="Verdana"/>
                <w:sz w:val="20"/>
                <w:szCs w:val="20"/>
              </w:rPr>
            </w:pPr>
            <w:r w:rsidRPr="006F062B">
              <w:rPr>
                <w:rFonts w:ascii="Verdana" w:hAnsi="Verdana"/>
                <w:sz w:val="20"/>
                <w:szCs w:val="20"/>
              </w:rPr>
              <w:t xml:space="preserve">Pykälässä säädettäisiin suorahankinnan käyttämisestä alkuperäisen toimittajan kanssa tehtävissä lisätilauksissa. Säännös perustuu hankintadirektiivin 32 artiklan 3 kohdan b alakohtaan, 5 kohtaan sekä 72 artiklaan. Säännös vastaa voimassa olevan hankintalain 28 §:ssä säädettyä. </w:t>
            </w:r>
          </w:p>
          <w:p w14:paraId="4519E324" w14:textId="77777777" w:rsidR="006F062B" w:rsidRDefault="006F062B" w:rsidP="006F062B">
            <w:pPr>
              <w:ind w:left="567"/>
              <w:jc w:val="both"/>
              <w:rPr>
                <w:rFonts w:ascii="Verdana" w:hAnsi="Verdana"/>
                <w:sz w:val="20"/>
                <w:szCs w:val="20"/>
              </w:rPr>
            </w:pPr>
          </w:p>
          <w:p w14:paraId="382C7424" w14:textId="77777777" w:rsidR="006F062B" w:rsidRDefault="006F062B" w:rsidP="006F062B">
            <w:pPr>
              <w:ind w:left="567"/>
              <w:jc w:val="both"/>
              <w:rPr>
                <w:rFonts w:ascii="Verdana" w:hAnsi="Verdana"/>
                <w:sz w:val="20"/>
                <w:szCs w:val="20"/>
              </w:rPr>
            </w:pPr>
            <w:r w:rsidRPr="006F062B">
              <w:rPr>
                <w:rFonts w:ascii="Verdana" w:hAnsi="Verdana"/>
                <w:sz w:val="20"/>
                <w:szCs w:val="20"/>
              </w:rPr>
              <w:lastRenderedPageBreak/>
              <w:t xml:space="preserve">Pykälän 1 momentin mukaan suorahankinta olisi mahdollinen alkuperäisen toimittajan kanssa tehtävissä tavarahankintaa koskevien lisätilausten tekemisessä, jos tavarantoimittajan vaihtaminen johtaisi suhteettomiin teknisiin vaikeuksiin tai yhteensopimattomuuteen. Lisätilaukset olisivat mahdollista, kun alkuperäisen samoin kuin uudistettavien sopimusten voimassaoloaika voisi pääsääntöisesti olla enintään kolme vuotta. </w:t>
            </w:r>
          </w:p>
          <w:p w14:paraId="7A474EE2" w14:textId="77777777" w:rsidR="006F062B" w:rsidRDefault="006F062B" w:rsidP="00A65778">
            <w:pPr>
              <w:jc w:val="both"/>
              <w:rPr>
                <w:rFonts w:ascii="Verdana" w:hAnsi="Verdana"/>
                <w:sz w:val="20"/>
                <w:szCs w:val="20"/>
              </w:rPr>
            </w:pPr>
          </w:p>
          <w:p w14:paraId="4A846FFA" w14:textId="77777777" w:rsidR="00654311" w:rsidRDefault="006F062B" w:rsidP="006F062B">
            <w:pPr>
              <w:ind w:left="567"/>
              <w:jc w:val="both"/>
              <w:rPr>
                <w:rFonts w:ascii="Verdana" w:hAnsi="Verdana"/>
                <w:sz w:val="20"/>
                <w:szCs w:val="20"/>
              </w:rPr>
            </w:pPr>
            <w:r w:rsidRPr="006F062B">
              <w:rPr>
                <w:rFonts w:ascii="Verdana" w:hAnsi="Verdana"/>
                <w:sz w:val="20"/>
                <w:szCs w:val="20"/>
              </w:rPr>
              <w:t>Säännös edellyttäisi poikkeuksellisu</w:t>
            </w:r>
            <w:r>
              <w:rPr>
                <w:rFonts w:ascii="Verdana" w:hAnsi="Verdana"/>
                <w:sz w:val="20"/>
                <w:szCs w:val="20"/>
              </w:rPr>
              <w:t>utta lisä</w:t>
            </w:r>
            <w:r w:rsidRPr="006F062B">
              <w:rPr>
                <w:rFonts w:ascii="Verdana" w:hAnsi="Verdana"/>
                <w:sz w:val="20"/>
                <w:szCs w:val="20"/>
              </w:rPr>
              <w:t xml:space="preserve">tilausten tekemisessä. Normaalitapauksissa myös mahdollisten lisätilausten tarve on otettava huomioon hankinnan suunnittelussa ja toteuttamisessa. Silloin, kun lisätilausmahdollisuus on optiona jo huomioitu asianmukaisesti yksilöiden osana kilpailutettavaa kokonaisuutta, ei ole kyse tässä pykälässä tarkoitetusta lisätilauksesta suorahankintana, vaan tavanomaisesta kilpailutetusta hankinnasta, jonka lopullinen toimitusmäärä tarkentuu vasta myöhemmin. Unionin tuomioistuimen oikeuskäytännössä on tulkittu tiukasti tekniseen yhteensopimattomuuteen liittyviä perusteita suorahankinnan tekemiselle. Tuomiossa C-385/02, komissio vs. Italia (EU:C:2004:522) tuomioistuin katsoi, että hankinnan kohteen vaikeus, arkaluonteisuus ja tekniseen yhteensopivuuteen liittyvät perusteet sopimuksen antamiselle vain yhdelle toimittajalle tulee pystyä yksityiskohtaisesti osoittamaan. </w:t>
            </w:r>
          </w:p>
          <w:p w14:paraId="375D9DAB" w14:textId="77777777" w:rsidR="00654311" w:rsidRDefault="00654311" w:rsidP="006F062B">
            <w:pPr>
              <w:ind w:left="567"/>
              <w:jc w:val="both"/>
              <w:rPr>
                <w:rFonts w:ascii="Verdana" w:hAnsi="Verdana"/>
                <w:sz w:val="20"/>
                <w:szCs w:val="20"/>
              </w:rPr>
            </w:pPr>
          </w:p>
          <w:p w14:paraId="3688E9D1" w14:textId="0DEBB095" w:rsidR="00654311" w:rsidRDefault="006F062B" w:rsidP="006F062B">
            <w:pPr>
              <w:ind w:left="567"/>
              <w:jc w:val="both"/>
              <w:rPr>
                <w:rFonts w:ascii="Verdana" w:hAnsi="Verdana"/>
                <w:sz w:val="20"/>
                <w:szCs w:val="20"/>
              </w:rPr>
            </w:pPr>
            <w:r w:rsidRPr="006F062B">
              <w:rPr>
                <w:rFonts w:ascii="Verdana" w:hAnsi="Verdana"/>
                <w:sz w:val="20"/>
                <w:szCs w:val="20"/>
              </w:rPr>
              <w:t>Korkeimman hallinto-oikeuden ratkaisussa KHO 7.4.2010 taltio 719 katsottiin ohjelmistohankinnassa, ettei tehtyä suorahankin</w:t>
            </w:r>
            <w:r w:rsidR="00307A86">
              <w:rPr>
                <w:rFonts w:ascii="Verdana" w:hAnsi="Verdana"/>
                <w:sz w:val="20"/>
                <w:szCs w:val="20"/>
              </w:rPr>
              <w:t>t</w:t>
            </w:r>
            <w:r w:rsidRPr="006F062B">
              <w:rPr>
                <w:rFonts w:ascii="Verdana" w:hAnsi="Verdana"/>
                <w:sz w:val="20"/>
                <w:szCs w:val="20"/>
              </w:rPr>
              <w:t>aa voitu pitää hankintalain mukaisena lisätilauksena, koska suorahankinnan tarkoituksena oli kokonaan korvata toinen ohjelmisto. Pykälän 1 momentin säännöksen kanssa tavoitteeltaan yhdenmukainen säännös sisältyisi myös sopimusmuutoksia koskevan 136 §:n 2 momentin 2 kohtaan. Säännökset eroaisivat kuitenkin toisistaan siten, että 136 §:n 2 momentin 2 kohdan säännöksessä olisi kyse voimassa olevan hankintasopimuksen ehtojen muut</w:t>
            </w:r>
            <w:r w:rsidR="00307A86">
              <w:rPr>
                <w:rFonts w:ascii="Verdana" w:hAnsi="Verdana"/>
                <w:sz w:val="20"/>
                <w:szCs w:val="20"/>
              </w:rPr>
              <w:t>tamisesta, kun taas tämän pykä</w:t>
            </w:r>
            <w:r w:rsidRPr="006F062B">
              <w:rPr>
                <w:rFonts w:ascii="Verdana" w:hAnsi="Verdana"/>
                <w:sz w:val="20"/>
                <w:szCs w:val="20"/>
              </w:rPr>
              <w:t xml:space="preserve">län säännöksessä olisi kyse täysin uudesta ja edelliseen sopimukseen nähden erillisestä suorahankinnasta. </w:t>
            </w:r>
          </w:p>
          <w:p w14:paraId="72503434" w14:textId="77777777" w:rsidR="00654311" w:rsidRDefault="00654311" w:rsidP="006F062B">
            <w:pPr>
              <w:ind w:left="567"/>
              <w:jc w:val="both"/>
              <w:rPr>
                <w:rFonts w:ascii="Verdana" w:hAnsi="Verdana"/>
                <w:sz w:val="20"/>
                <w:szCs w:val="20"/>
              </w:rPr>
            </w:pPr>
          </w:p>
          <w:p w14:paraId="0BEAB860" w14:textId="77777777" w:rsidR="0063307E" w:rsidRDefault="006F062B" w:rsidP="006F062B">
            <w:pPr>
              <w:ind w:left="567"/>
              <w:jc w:val="both"/>
              <w:rPr>
                <w:rFonts w:ascii="Verdana" w:hAnsi="Verdana"/>
                <w:sz w:val="20"/>
                <w:szCs w:val="20"/>
              </w:rPr>
            </w:pPr>
            <w:r w:rsidRPr="006F062B">
              <w:rPr>
                <w:rFonts w:ascii="Verdana" w:hAnsi="Verdana"/>
                <w:sz w:val="20"/>
                <w:szCs w:val="20"/>
              </w:rPr>
              <w:t xml:space="preserve">Pykälän 2 momentin mukaan suorahankinta olisi mahdollinen myös silloin, kun kyseessä on alkuperäisen toimittajan kanssa tehtävä uusi rakennusurakkasopimus tai palveluhankinta, joka vastaa aikaisemmin tehtyä urakkaa tai palveluhankintaa. Edellytyksenä olisi, että alkuperäistä hankintaa koskevassa ilmoituksessa on mainittu mahdollisesta myöhemmästä suorahankinnasta ja että lisäpalvelun tai uuden rakennusurakan ennakoitu arvo on otettu huomioon laskettaessa alkuperäisen sopimuksen kokonaisarvoa. Uuden sopimuksen käyttöön liittyy kolmen vuoden aikarajoitus. Unionin tuomioistuimen tuomion C-385/02, komissio vs. Italia (EU:C:2004:522) mukaan kolmen vuoden ajanjakso alkaa hetkestä, jolloin alkuperäinen sopimus tehtiin eikä </w:t>
            </w:r>
            <w:proofErr w:type="gramStart"/>
            <w:r w:rsidRPr="006F062B">
              <w:rPr>
                <w:rFonts w:ascii="Verdana" w:hAnsi="Verdana"/>
                <w:sz w:val="20"/>
                <w:szCs w:val="20"/>
              </w:rPr>
              <w:t>hetkestä</w:t>
            </w:r>
            <w:proofErr w:type="gramEnd"/>
            <w:r w:rsidRPr="006F062B">
              <w:rPr>
                <w:rFonts w:ascii="Verdana" w:hAnsi="Verdana"/>
                <w:sz w:val="20"/>
                <w:szCs w:val="20"/>
              </w:rPr>
              <w:t xml:space="preserve"> jolloin sopimuksen kohteena oleva rakennustyö valmistui. Säännös mahdollistaisi etukäteen ilmoitettujen lisätilausten joustavan tekemisen. Lisätilausten tulisi olla kuitenkin ennalta ajallisesti ja sisällöllisesti määriteltyjä, jotta tarjoajien tasapuolinen asema tulisi turvatuksi. Säännös ei siten mahdollistaisi yleisten sisällöltään täsmentymättömien lisätilausten tekemistä suorahankintoina. Mikäli lisätilausten mahdollisuus on otettu huomioon käyttämällä alkuperäisen hankintasopimuksen tarkistuslausekkeita, voidaan tietyin edellytyksin soveltaa ehdotetun lain sopimusmuutoksia koskevaa 135 §:n 2 momentin 1 kohtaa. Joissain tapauksissa lisätilauksen kilpailuttamatta jättämistä voitaisiin perustella sekä lisätilausta koskevan että sopimusmuutoksia koskevien säännösten perusteella.</w:t>
            </w:r>
            <w:r w:rsidR="00654311">
              <w:rPr>
                <w:rFonts w:ascii="Verdana" w:hAnsi="Verdana"/>
                <w:sz w:val="20"/>
                <w:szCs w:val="20"/>
              </w:rPr>
              <w:t>”</w:t>
            </w:r>
          </w:p>
          <w:p w14:paraId="0C9F3AB7" w14:textId="77777777" w:rsidR="00654311" w:rsidRDefault="00654311" w:rsidP="00654311">
            <w:pPr>
              <w:jc w:val="both"/>
              <w:rPr>
                <w:rFonts w:ascii="Verdana" w:hAnsi="Verdana"/>
                <w:sz w:val="20"/>
                <w:szCs w:val="20"/>
              </w:rPr>
            </w:pPr>
          </w:p>
          <w:p w14:paraId="5FA852D9" w14:textId="0286D76A" w:rsidR="00654311" w:rsidRDefault="00654311" w:rsidP="00654311">
            <w:pPr>
              <w:jc w:val="both"/>
              <w:rPr>
                <w:rFonts w:ascii="Verdana" w:hAnsi="Verdana"/>
                <w:sz w:val="20"/>
                <w:szCs w:val="20"/>
              </w:rPr>
            </w:pPr>
            <w:r>
              <w:rPr>
                <w:rFonts w:ascii="Verdana" w:hAnsi="Verdana"/>
                <w:sz w:val="20"/>
                <w:szCs w:val="20"/>
              </w:rPr>
              <w:t xml:space="preserve">Hankintalakia koskeva direktiivi </w:t>
            </w:r>
            <w:r w:rsidRPr="00654311">
              <w:rPr>
                <w:rFonts w:ascii="Verdana" w:hAnsi="Verdana"/>
                <w:sz w:val="20"/>
                <w:szCs w:val="20"/>
              </w:rPr>
              <w:t>2014/24/EU</w:t>
            </w:r>
            <w:r>
              <w:rPr>
                <w:rFonts w:ascii="Verdana" w:hAnsi="Verdana"/>
                <w:sz w:val="20"/>
                <w:szCs w:val="20"/>
              </w:rPr>
              <w:t xml:space="preserve"> (”hankintadirektiivi”) sisältää myös säännökset lisätilaus-suorahankintaperusteen käytöstä.</w:t>
            </w:r>
          </w:p>
          <w:p w14:paraId="693EA9F1" w14:textId="77777777" w:rsidR="00654311" w:rsidRDefault="00654311" w:rsidP="00654311">
            <w:pPr>
              <w:jc w:val="both"/>
              <w:rPr>
                <w:rFonts w:ascii="Verdana" w:hAnsi="Verdana"/>
                <w:b/>
                <w:sz w:val="20"/>
                <w:szCs w:val="20"/>
              </w:rPr>
            </w:pPr>
          </w:p>
          <w:p w14:paraId="3F3CB9F7" w14:textId="77777777" w:rsidR="00654311" w:rsidRDefault="00654311" w:rsidP="00654311">
            <w:pPr>
              <w:jc w:val="both"/>
              <w:rPr>
                <w:rFonts w:ascii="Verdana" w:hAnsi="Verdana"/>
                <w:sz w:val="20"/>
                <w:szCs w:val="20"/>
              </w:rPr>
            </w:pPr>
            <w:r>
              <w:rPr>
                <w:rFonts w:ascii="Verdana" w:hAnsi="Verdana"/>
                <w:sz w:val="20"/>
                <w:szCs w:val="20"/>
              </w:rPr>
              <w:t>Hankintadirektiivin johdanto-osan mukaan:</w:t>
            </w:r>
          </w:p>
          <w:p w14:paraId="556E63C7" w14:textId="77777777" w:rsidR="00654311" w:rsidRDefault="00654311" w:rsidP="00654311">
            <w:pPr>
              <w:jc w:val="both"/>
              <w:rPr>
                <w:rFonts w:ascii="Verdana" w:hAnsi="Verdana"/>
                <w:sz w:val="20"/>
                <w:szCs w:val="20"/>
              </w:rPr>
            </w:pPr>
          </w:p>
          <w:p w14:paraId="2AF66C96" w14:textId="2E8D5B13" w:rsidR="00654311" w:rsidRDefault="00654311" w:rsidP="00654311">
            <w:pPr>
              <w:ind w:left="567"/>
              <w:jc w:val="both"/>
              <w:rPr>
                <w:rFonts w:ascii="Verdana" w:hAnsi="Verdana"/>
                <w:sz w:val="20"/>
                <w:szCs w:val="20"/>
              </w:rPr>
            </w:pPr>
            <w:proofErr w:type="gramStart"/>
            <w:r>
              <w:rPr>
                <w:rFonts w:ascii="Verdana" w:hAnsi="Verdana"/>
                <w:sz w:val="20"/>
                <w:szCs w:val="20"/>
              </w:rPr>
              <w:t>”</w:t>
            </w:r>
            <w:r w:rsidR="00C05B1C">
              <w:rPr>
                <w:rFonts w:ascii="Verdana" w:hAnsi="Verdana"/>
                <w:sz w:val="20"/>
                <w:szCs w:val="20"/>
              </w:rPr>
              <w:t>(</w:t>
            </w:r>
            <w:proofErr w:type="gramEnd"/>
            <w:r w:rsidR="00C05B1C">
              <w:rPr>
                <w:rFonts w:ascii="Verdana" w:hAnsi="Verdana"/>
                <w:sz w:val="20"/>
                <w:szCs w:val="20"/>
              </w:rPr>
              <w:t xml:space="preserve">50) </w:t>
            </w:r>
            <w:r w:rsidRPr="00654311">
              <w:rPr>
                <w:rFonts w:ascii="Verdana" w:hAnsi="Verdana"/>
                <w:sz w:val="20"/>
                <w:szCs w:val="20"/>
              </w:rPr>
              <w:t>Neuvottelumenettelyjä, joissa hankintailmoitusta ei ole julkaistu ennen menettelyn aloittamista, olisi käytettävä ainoastaan hyvin poikkeuksellisissa olosuhteissa, koska ne vaiku</w:t>
            </w:r>
            <w:r>
              <w:rPr>
                <w:rFonts w:ascii="Verdana" w:hAnsi="Verdana"/>
                <w:sz w:val="20"/>
                <w:szCs w:val="20"/>
              </w:rPr>
              <w:t>ttavat haitallisesti kilpailuun.</w:t>
            </w:r>
          </w:p>
          <w:p w14:paraId="1F257BEB" w14:textId="77777777" w:rsidR="00654311" w:rsidRDefault="00654311" w:rsidP="00654311">
            <w:pPr>
              <w:ind w:left="567"/>
              <w:jc w:val="both"/>
              <w:rPr>
                <w:rFonts w:ascii="Verdana" w:hAnsi="Verdana"/>
                <w:sz w:val="20"/>
                <w:szCs w:val="20"/>
              </w:rPr>
            </w:pPr>
          </w:p>
          <w:p w14:paraId="16A6091E" w14:textId="273E5B84" w:rsidR="00654311" w:rsidRDefault="00654311" w:rsidP="00654311">
            <w:pPr>
              <w:jc w:val="both"/>
              <w:rPr>
                <w:rFonts w:ascii="Verdana" w:hAnsi="Verdana"/>
                <w:sz w:val="20"/>
                <w:szCs w:val="20"/>
              </w:rPr>
            </w:pPr>
            <w:r>
              <w:rPr>
                <w:rFonts w:ascii="Verdana" w:hAnsi="Verdana"/>
                <w:sz w:val="20"/>
                <w:szCs w:val="20"/>
              </w:rPr>
              <w:t>Hankintadirektiivin 32 artiklan</w:t>
            </w:r>
            <w:r w:rsidRPr="00654311">
              <w:rPr>
                <w:rFonts w:ascii="Verdana" w:hAnsi="Verdana"/>
                <w:sz w:val="20"/>
                <w:szCs w:val="20"/>
              </w:rPr>
              <w:t xml:space="preserve"> 3</w:t>
            </w:r>
            <w:r>
              <w:rPr>
                <w:rFonts w:ascii="Verdana" w:hAnsi="Verdana"/>
                <w:sz w:val="20"/>
                <w:szCs w:val="20"/>
              </w:rPr>
              <w:t xml:space="preserve"> kohdan alakohdan</w:t>
            </w:r>
            <w:r w:rsidRPr="00654311">
              <w:rPr>
                <w:rFonts w:ascii="Verdana" w:hAnsi="Verdana"/>
                <w:sz w:val="20"/>
                <w:szCs w:val="20"/>
              </w:rPr>
              <w:t xml:space="preserve"> b</w:t>
            </w:r>
            <w:r>
              <w:rPr>
                <w:rFonts w:ascii="Verdana" w:hAnsi="Verdana"/>
                <w:sz w:val="20"/>
                <w:szCs w:val="20"/>
              </w:rPr>
              <w:t xml:space="preserve"> mukaan: </w:t>
            </w:r>
          </w:p>
          <w:p w14:paraId="41933C47" w14:textId="11A8CA63" w:rsidR="00C05B1C" w:rsidRPr="00C05B1C" w:rsidRDefault="00654311" w:rsidP="00C05B1C">
            <w:pPr>
              <w:ind w:left="567"/>
              <w:jc w:val="both"/>
              <w:rPr>
                <w:rFonts w:ascii="Verdana" w:hAnsi="Verdana"/>
                <w:sz w:val="20"/>
                <w:szCs w:val="20"/>
              </w:rPr>
            </w:pPr>
            <w:r>
              <w:rPr>
                <w:rFonts w:ascii="Verdana" w:hAnsi="Verdana"/>
                <w:b/>
                <w:sz w:val="20"/>
                <w:szCs w:val="20"/>
              </w:rPr>
              <w:t>”</w:t>
            </w:r>
            <w:r w:rsidRPr="00654311">
              <w:rPr>
                <w:rFonts w:ascii="Verdana" w:hAnsi="Verdana"/>
                <w:sz w:val="20"/>
                <w:szCs w:val="20"/>
              </w:rPr>
              <w:t>Neuvottelumenettelyä, josta ei julkaista ilmoitusta, voidaan</w:t>
            </w:r>
            <w:r w:rsidR="00C05B1C">
              <w:rPr>
                <w:rFonts w:ascii="Verdana" w:hAnsi="Verdana"/>
                <w:b/>
                <w:sz w:val="20"/>
                <w:szCs w:val="20"/>
              </w:rPr>
              <w:t xml:space="preserve"> </w:t>
            </w:r>
            <w:r w:rsidRPr="00654311">
              <w:rPr>
                <w:rFonts w:ascii="Verdana" w:hAnsi="Verdana"/>
                <w:sz w:val="20"/>
                <w:szCs w:val="20"/>
              </w:rPr>
              <w:t>käyttää tava</w:t>
            </w:r>
            <w:r w:rsidR="00FF1ECB">
              <w:rPr>
                <w:rFonts w:ascii="Verdana" w:hAnsi="Verdana"/>
                <w:sz w:val="20"/>
                <w:szCs w:val="20"/>
              </w:rPr>
              <w:t xml:space="preserve">rahankintasopimusten tekemiseen </w:t>
            </w:r>
            <w:r w:rsidRPr="00654311">
              <w:rPr>
                <w:rFonts w:ascii="Verdana" w:hAnsi="Verdana"/>
                <w:sz w:val="20"/>
                <w:szCs w:val="20"/>
              </w:rPr>
              <w:t xml:space="preserve">joiden kohteena ovat lisätoimitukset alkuperäiseltä tavarantoimittajalta joko tavarantoimitusten tai laitteistojen osittaiseksi korvaamiseksi taikka tavarantoimitusten tai olemassa olevien laitteistojen laajentamiseksi, jos hankintaviranomaiset joutuisivat tavarantoimittajan vaihtamisen vuoksi hankkimaan teknisiltä ominaisuuksiltaan erilaisia tavaroita, mikä johtaisi yhteensopimattomuuteen tai suhteettomiin teknisiin vaikeuksiin käytössä ja kunnossapidossa; </w:t>
            </w:r>
            <w:r w:rsidRPr="008A7535">
              <w:rPr>
                <w:rFonts w:ascii="Verdana" w:hAnsi="Verdana"/>
                <w:b/>
                <w:sz w:val="20"/>
                <w:szCs w:val="20"/>
              </w:rPr>
              <w:t>tällaisten hankintasopimusten</w:t>
            </w:r>
            <w:r w:rsidRPr="00654311">
              <w:rPr>
                <w:rFonts w:ascii="Verdana" w:hAnsi="Verdana"/>
                <w:sz w:val="20"/>
                <w:szCs w:val="20"/>
              </w:rPr>
              <w:t xml:space="preserve"> samoin kuin </w:t>
            </w:r>
            <w:r w:rsidRPr="008A7535">
              <w:rPr>
                <w:rFonts w:ascii="Verdana" w:hAnsi="Verdana"/>
                <w:b/>
                <w:sz w:val="20"/>
                <w:szCs w:val="20"/>
              </w:rPr>
              <w:t>uusittavien sopimusten</w:t>
            </w:r>
            <w:r w:rsidRPr="00654311">
              <w:rPr>
                <w:rFonts w:ascii="Verdana" w:hAnsi="Verdana"/>
                <w:sz w:val="20"/>
                <w:szCs w:val="20"/>
              </w:rPr>
              <w:t xml:space="preserve"> kesto saa pääsääntöis</w:t>
            </w:r>
            <w:r w:rsidR="00FF1ECB">
              <w:rPr>
                <w:rFonts w:ascii="Verdana" w:hAnsi="Verdana"/>
                <w:sz w:val="20"/>
                <w:szCs w:val="20"/>
              </w:rPr>
              <w:t xml:space="preserve">esti olla </w:t>
            </w:r>
            <w:r w:rsidR="00FF1ECB" w:rsidRPr="008A7535">
              <w:rPr>
                <w:rFonts w:ascii="Verdana" w:hAnsi="Verdana"/>
                <w:b/>
                <w:sz w:val="20"/>
                <w:szCs w:val="20"/>
              </w:rPr>
              <w:t>enintään kolme vuotta</w:t>
            </w:r>
            <w:r w:rsidR="00FF1ECB">
              <w:rPr>
                <w:rFonts w:ascii="Verdana" w:hAnsi="Verdana"/>
                <w:sz w:val="20"/>
                <w:szCs w:val="20"/>
              </w:rPr>
              <w:t>”</w:t>
            </w:r>
          </w:p>
          <w:p w14:paraId="584C5557" w14:textId="5073601F" w:rsidR="00FF1ECB" w:rsidRDefault="00FF1ECB" w:rsidP="00FF1ECB">
            <w:pPr>
              <w:jc w:val="both"/>
              <w:rPr>
                <w:rFonts w:ascii="Verdana" w:hAnsi="Verdana"/>
                <w:sz w:val="20"/>
                <w:szCs w:val="20"/>
              </w:rPr>
            </w:pPr>
          </w:p>
          <w:p w14:paraId="753B658B" w14:textId="7F3A2E08" w:rsidR="00FF1ECB" w:rsidRPr="00654311" w:rsidRDefault="00FF1ECB" w:rsidP="00FF1ECB">
            <w:pPr>
              <w:jc w:val="both"/>
              <w:rPr>
                <w:rFonts w:ascii="Verdana" w:hAnsi="Verdana"/>
                <w:sz w:val="20"/>
                <w:szCs w:val="20"/>
              </w:rPr>
            </w:pPr>
            <w:r>
              <w:rPr>
                <w:rFonts w:ascii="Verdana" w:hAnsi="Verdana"/>
                <w:sz w:val="20"/>
                <w:szCs w:val="20"/>
              </w:rPr>
              <w:t>Hankintadirektiivin 32 artiklan 5 kohdan mukaan:</w:t>
            </w:r>
          </w:p>
          <w:p w14:paraId="2C4B3B7A" w14:textId="39FB79E8" w:rsidR="00654311" w:rsidRPr="00654311" w:rsidRDefault="00654311" w:rsidP="00C05B1C">
            <w:pPr>
              <w:jc w:val="both"/>
              <w:rPr>
                <w:rFonts w:ascii="Verdana" w:hAnsi="Verdana"/>
                <w:sz w:val="20"/>
                <w:szCs w:val="20"/>
              </w:rPr>
            </w:pPr>
          </w:p>
          <w:p w14:paraId="5D3572F6" w14:textId="7133CCE2" w:rsidR="00654311" w:rsidRDefault="00FF1ECB" w:rsidP="00FF1ECB">
            <w:pPr>
              <w:ind w:left="567"/>
              <w:jc w:val="both"/>
              <w:rPr>
                <w:rFonts w:ascii="Verdana" w:hAnsi="Verdana"/>
                <w:sz w:val="20"/>
                <w:szCs w:val="20"/>
              </w:rPr>
            </w:pPr>
            <w:r>
              <w:rPr>
                <w:rFonts w:ascii="Verdana" w:hAnsi="Verdana"/>
                <w:sz w:val="20"/>
                <w:szCs w:val="20"/>
              </w:rPr>
              <w:t>”</w:t>
            </w:r>
            <w:r w:rsidR="00654311" w:rsidRPr="00654311">
              <w:rPr>
                <w:rFonts w:ascii="Verdana" w:hAnsi="Verdana"/>
                <w:sz w:val="20"/>
                <w:szCs w:val="20"/>
              </w:rPr>
              <w:t>Neuvottelumenettelyä, josta ei julkaista ilmoitusta, voidaan käyttää silloin, kun kyseessä ovat uudet rakennusurakat tai palvelut, jotka ovat samanlaisen, saman hankintaviranomaisen alkuperäisen hankintasopimuksen sopimuspuoleksi valitulle talouden toimijalle antaman rakennusurakan tai palvelun toistamista, jos nämä uudet rakennusurakat tai palvelut ovat sen perushankkeen mukaisia, josta alkuperäinen hankintasopimus tehtiin 26 artiklan 1 kohdan mukaista menettelyä noudattaen. Perushankkeessa on ilmoitettava mahdollisten lisäurakoiden tai -palvelujen laajuudesta sekä edellytyksistä, joilla niitä koskeva hankintasopimus voidaan tehdä.</w:t>
            </w:r>
          </w:p>
          <w:p w14:paraId="6B47E9BE" w14:textId="77777777" w:rsidR="00FF1ECB" w:rsidRPr="00654311" w:rsidRDefault="00FF1ECB" w:rsidP="00FF1ECB">
            <w:pPr>
              <w:ind w:left="567"/>
              <w:jc w:val="both"/>
              <w:rPr>
                <w:rFonts w:ascii="Verdana" w:hAnsi="Verdana"/>
                <w:b/>
                <w:sz w:val="20"/>
                <w:szCs w:val="20"/>
              </w:rPr>
            </w:pPr>
          </w:p>
          <w:p w14:paraId="668837AF" w14:textId="77777777" w:rsidR="00654311" w:rsidRPr="00654311" w:rsidRDefault="00654311" w:rsidP="00FF1ECB">
            <w:pPr>
              <w:ind w:left="567"/>
              <w:jc w:val="both"/>
              <w:rPr>
                <w:rFonts w:ascii="Verdana" w:hAnsi="Verdana"/>
                <w:b/>
                <w:sz w:val="20"/>
                <w:szCs w:val="20"/>
              </w:rPr>
            </w:pPr>
            <w:r w:rsidRPr="00654311">
              <w:rPr>
                <w:rFonts w:ascii="Verdana" w:hAnsi="Verdana"/>
                <w:sz w:val="20"/>
                <w:szCs w:val="20"/>
              </w:rPr>
              <w:t xml:space="preserve">Ensimmäisen hankkeen tarjouskilpailun yhteydessä on ilmoitettava tämän menettelyn mahdollisesta käytöstä, ja hankintaviranomaisten on otettava huomioon lisäurakoiden tai -palvelujen ennakoitu kokonaisarvo 4 artiklaa soveltaessaan. </w:t>
            </w:r>
          </w:p>
          <w:p w14:paraId="1D9C30F7" w14:textId="77777777" w:rsidR="00515FF3" w:rsidRDefault="00654311" w:rsidP="00515FF3">
            <w:pPr>
              <w:ind w:left="567"/>
              <w:jc w:val="both"/>
              <w:rPr>
                <w:rFonts w:ascii="Verdana" w:hAnsi="Verdana"/>
                <w:sz w:val="20"/>
                <w:szCs w:val="20"/>
              </w:rPr>
            </w:pPr>
            <w:r w:rsidRPr="00654311">
              <w:rPr>
                <w:rFonts w:ascii="Verdana" w:hAnsi="Verdana"/>
                <w:sz w:val="20"/>
                <w:szCs w:val="20"/>
              </w:rPr>
              <w:t>Tätä menettelyä voidaan noudattaa vain kolmen vuoden ajan alkuperäisen hankintasopimuksen tekemisestä.</w:t>
            </w:r>
            <w:r w:rsidR="00FF1ECB">
              <w:rPr>
                <w:rFonts w:ascii="Verdana" w:hAnsi="Verdana"/>
                <w:sz w:val="20"/>
                <w:szCs w:val="20"/>
              </w:rPr>
              <w:t>”</w:t>
            </w:r>
          </w:p>
          <w:p w14:paraId="7B2C336C" w14:textId="185994AE" w:rsidR="00515FF3" w:rsidRDefault="00C4520F" w:rsidP="00C4520F">
            <w:pPr>
              <w:tabs>
                <w:tab w:val="left" w:pos="4002"/>
                <w:tab w:val="left" w:pos="7853"/>
              </w:tabs>
              <w:jc w:val="both"/>
              <w:rPr>
                <w:rFonts w:ascii="Verdana" w:hAnsi="Verdana"/>
                <w:sz w:val="20"/>
                <w:szCs w:val="20"/>
              </w:rPr>
            </w:pPr>
            <w:r>
              <w:rPr>
                <w:rFonts w:ascii="Verdana" w:hAnsi="Verdana"/>
                <w:sz w:val="20"/>
                <w:szCs w:val="20"/>
              </w:rPr>
              <w:tab/>
            </w:r>
            <w:r>
              <w:rPr>
                <w:rFonts w:ascii="Verdana" w:hAnsi="Verdana"/>
                <w:sz w:val="20"/>
                <w:szCs w:val="20"/>
              </w:rPr>
              <w:tab/>
            </w:r>
          </w:p>
          <w:p w14:paraId="324E1F00" w14:textId="271C992F" w:rsidR="00515FF3" w:rsidRDefault="00515FF3" w:rsidP="00515FF3">
            <w:pPr>
              <w:jc w:val="both"/>
              <w:rPr>
                <w:rFonts w:ascii="Verdana" w:hAnsi="Verdana"/>
                <w:b/>
                <w:sz w:val="20"/>
                <w:szCs w:val="20"/>
              </w:rPr>
            </w:pPr>
            <w:r>
              <w:rPr>
                <w:rFonts w:ascii="Verdana" w:hAnsi="Verdana"/>
                <w:b/>
                <w:sz w:val="20"/>
                <w:szCs w:val="20"/>
              </w:rPr>
              <w:t>HUOMIOITA OIKEUSOHEISTA</w:t>
            </w:r>
          </w:p>
          <w:p w14:paraId="0F2D6516" w14:textId="1B4E5D26" w:rsidR="00515FF3" w:rsidRDefault="00515FF3" w:rsidP="00515FF3">
            <w:pPr>
              <w:jc w:val="both"/>
              <w:rPr>
                <w:rFonts w:ascii="Verdana" w:hAnsi="Verdana"/>
                <w:b/>
                <w:sz w:val="20"/>
                <w:szCs w:val="20"/>
              </w:rPr>
            </w:pPr>
          </w:p>
          <w:p w14:paraId="4EDB5738" w14:textId="77777777" w:rsidR="00515FF3" w:rsidRPr="00515FF3" w:rsidRDefault="00515FF3" w:rsidP="00515FF3">
            <w:pPr>
              <w:jc w:val="both"/>
              <w:rPr>
                <w:rFonts w:ascii="Verdana" w:hAnsi="Verdana"/>
                <w:sz w:val="20"/>
                <w:szCs w:val="20"/>
              </w:rPr>
            </w:pPr>
            <w:r w:rsidRPr="00515FF3">
              <w:rPr>
                <w:rFonts w:ascii="Verdana" w:hAnsi="Verdana"/>
                <w:sz w:val="20"/>
                <w:szCs w:val="20"/>
              </w:rPr>
              <w:t xml:space="preserve">Voimassa olevan hankintalain 41.1 § ja 41.2 § vastaavat vanhan hankintalain 28 §:n 1 ja 3 momentteja. </w:t>
            </w:r>
          </w:p>
          <w:p w14:paraId="4FADDE34" w14:textId="77777777" w:rsidR="00515FF3" w:rsidRPr="00515FF3" w:rsidRDefault="00515FF3" w:rsidP="00515FF3">
            <w:pPr>
              <w:jc w:val="both"/>
              <w:rPr>
                <w:rFonts w:ascii="Verdana" w:hAnsi="Verdana"/>
                <w:sz w:val="20"/>
                <w:szCs w:val="20"/>
              </w:rPr>
            </w:pPr>
          </w:p>
          <w:p w14:paraId="5C324914" w14:textId="77777777" w:rsidR="00515FF3" w:rsidRPr="00515FF3" w:rsidRDefault="00515FF3" w:rsidP="00515FF3">
            <w:pPr>
              <w:jc w:val="both"/>
              <w:rPr>
                <w:rFonts w:ascii="Verdana" w:hAnsi="Verdana"/>
                <w:sz w:val="20"/>
                <w:szCs w:val="20"/>
              </w:rPr>
            </w:pPr>
            <w:r w:rsidRPr="00515FF3">
              <w:rPr>
                <w:rFonts w:ascii="Verdana" w:hAnsi="Verdana"/>
                <w:sz w:val="20"/>
                <w:szCs w:val="20"/>
              </w:rPr>
              <w:lastRenderedPageBreak/>
              <w:t xml:space="preserve">Hankintalain 41.1 § koskee </w:t>
            </w:r>
            <w:r w:rsidRPr="00D36774">
              <w:rPr>
                <w:rFonts w:ascii="Verdana" w:hAnsi="Verdana"/>
                <w:b/>
                <w:sz w:val="20"/>
                <w:szCs w:val="20"/>
              </w:rPr>
              <w:t>vain tavaroiden hankintaa</w:t>
            </w:r>
            <w:r w:rsidRPr="00515FF3">
              <w:rPr>
                <w:rFonts w:ascii="Verdana" w:hAnsi="Verdana"/>
                <w:sz w:val="20"/>
                <w:szCs w:val="20"/>
              </w:rPr>
              <w:t>. Säännöksen perusteella ei voida siis tehdä lisätilauksia palveluhankinnoissa. Säännöksen sanamuodon perusteella lisätilauksena ei myöskään voida tehdä kokonaan uusia hankintoja, sillä lisätilauksen tarkoituksena on oltava hankinnan aikaisemman toimituksen tai laitteiston osittainen korvaaminen tai laajentaminen. Siten säännöksen perusteella tehtävän lisätilauksen on kytkeydyttävä johonkin aiempaan hankintaan. Säännös ei kuitenkaan edellytä, että lisätilauksesta oli pitänyt ilmoittaa alkuperäisessä hankintailmoituksessa. On myös huomioitava, ettei alkuperäisessä hankintailmoituksessa määritellyn optioehdon soveltaminen tavarahankinnoissa tarkoita säännöksen mukaista suorahankintaa.</w:t>
            </w:r>
          </w:p>
          <w:p w14:paraId="102A7C74" w14:textId="77777777" w:rsidR="00515FF3" w:rsidRPr="00515FF3" w:rsidRDefault="00515FF3" w:rsidP="00515FF3">
            <w:pPr>
              <w:jc w:val="both"/>
              <w:rPr>
                <w:rFonts w:ascii="Verdana" w:hAnsi="Verdana"/>
                <w:sz w:val="20"/>
                <w:szCs w:val="20"/>
              </w:rPr>
            </w:pPr>
          </w:p>
          <w:p w14:paraId="48F52F1A" w14:textId="73E59ED1" w:rsidR="00515FF3" w:rsidRPr="00515FF3" w:rsidRDefault="00515FF3" w:rsidP="00515FF3">
            <w:pPr>
              <w:jc w:val="both"/>
              <w:rPr>
                <w:rFonts w:ascii="Verdana" w:hAnsi="Verdana"/>
                <w:sz w:val="20"/>
                <w:szCs w:val="20"/>
              </w:rPr>
            </w:pPr>
            <w:r w:rsidRPr="00515FF3">
              <w:rPr>
                <w:rFonts w:ascii="Verdana" w:hAnsi="Verdana"/>
                <w:sz w:val="20"/>
                <w:szCs w:val="20"/>
              </w:rPr>
              <w:t>Lisätilauksen edellytyksenä on myös, että toimittajan vaihtaminen</w:t>
            </w:r>
            <w:r w:rsidR="00571097">
              <w:rPr>
                <w:rFonts w:ascii="Verdana" w:hAnsi="Verdana"/>
                <w:sz w:val="20"/>
                <w:szCs w:val="20"/>
              </w:rPr>
              <w:t xml:space="preserve"> johtaisi</w:t>
            </w:r>
            <w:r w:rsidRPr="00515FF3">
              <w:rPr>
                <w:rFonts w:ascii="Verdana" w:hAnsi="Verdana"/>
                <w:sz w:val="20"/>
                <w:szCs w:val="20"/>
              </w:rPr>
              <w:t xml:space="preserve"> teknisiltä ominaisuuksiltaan erilaisen tavaran hankkimiseen, mikä aiheuttaisi yhteensopimattomuutta tai suhteettoman suuria teknisiä vaikeuksia käytössä ja kunnossapidossa. Koska hankintayksiköllä on näyttövelvollisuus suorahankinnan edellytysten täyttymisestä, on hankintayksikön pystyttävä perustelemaan, miksi toimittajan vaihtaminen aiheuttaisi em. ”haittoja.” Tämä edellyttänee käytännössä kirjallista selvitystä yhteensopimattomuuden syistä.</w:t>
            </w:r>
          </w:p>
          <w:p w14:paraId="011CE4CC" w14:textId="77777777" w:rsidR="00515FF3" w:rsidRPr="00515FF3" w:rsidRDefault="00515FF3" w:rsidP="00515FF3">
            <w:pPr>
              <w:jc w:val="both"/>
              <w:rPr>
                <w:rFonts w:ascii="Verdana" w:hAnsi="Verdana"/>
                <w:sz w:val="20"/>
                <w:szCs w:val="20"/>
              </w:rPr>
            </w:pPr>
          </w:p>
          <w:p w14:paraId="341CB830" w14:textId="4037F718" w:rsidR="00515FF3" w:rsidRDefault="00515FF3" w:rsidP="00515FF3">
            <w:pPr>
              <w:jc w:val="both"/>
              <w:rPr>
                <w:rFonts w:ascii="Verdana" w:hAnsi="Verdana"/>
                <w:sz w:val="20"/>
                <w:szCs w:val="20"/>
              </w:rPr>
            </w:pPr>
            <w:r w:rsidRPr="00515FF3">
              <w:rPr>
                <w:rFonts w:ascii="Verdana" w:hAnsi="Verdana"/>
                <w:sz w:val="20"/>
                <w:szCs w:val="20"/>
              </w:rPr>
              <w:t>Säännöksen soveltamista koskee myös ajallinen rajoitus. Voimassa olevan hankintasopimuksen sekä uudistettavan sopimuksen kesto voi olla pääsääntöisesti kolme vuotta. Näin ollen lisätilausta ei pääsääntöisesti voida tehdä, jos esimerkiksi alkuperäinen sopimuskausi on ollut kolmea vuotta pidempi.</w:t>
            </w:r>
          </w:p>
          <w:p w14:paraId="3E0F223E" w14:textId="77777777" w:rsidR="00571097" w:rsidRPr="00515FF3" w:rsidRDefault="00571097" w:rsidP="00515FF3">
            <w:pPr>
              <w:jc w:val="both"/>
              <w:rPr>
                <w:rFonts w:ascii="Verdana" w:hAnsi="Verdana"/>
                <w:sz w:val="20"/>
                <w:szCs w:val="20"/>
              </w:rPr>
            </w:pPr>
          </w:p>
          <w:p w14:paraId="4CD2CC93" w14:textId="435EAFCF" w:rsidR="00515FF3" w:rsidRPr="00515FF3" w:rsidRDefault="00515FF3" w:rsidP="00515FF3">
            <w:pPr>
              <w:jc w:val="both"/>
              <w:rPr>
                <w:rFonts w:ascii="Verdana" w:hAnsi="Verdana"/>
                <w:sz w:val="20"/>
                <w:szCs w:val="20"/>
              </w:rPr>
            </w:pPr>
            <w:r w:rsidRPr="00515FF3">
              <w:rPr>
                <w:rFonts w:ascii="Verdana" w:hAnsi="Verdana"/>
                <w:sz w:val="20"/>
                <w:szCs w:val="20"/>
              </w:rPr>
              <w:t>Hankintalain 41.2 § koskee puolestaan palvelujen ja rakennusurakoiden lisätilausta. Myöskään tämän säännöksen perusteella ei voida tehdä kokonaan uusia hankintoja, koska säännöksen mukaan lisätilauksen on vastattava aikaisemmin tehtyä rakennusurakkaa tai palveluhankintaa. Erona hankintalain 41</w:t>
            </w:r>
            <w:r w:rsidR="00571097">
              <w:rPr>
                <w:rFonts w:ascii="Verdana" w:hAnsi="Verdana"/>
                <w:sz w:val="20"/>
                <w:szCs w:val="20"/>
              </w:rPr>
              <w:t>.1 §:</w:t>
            </w:r>
            <w:proofErr w:type="spellStart"/>
            <w:r w:rsidR="00571097">
              <w:rPr>
                <w:rFonts w:ascii="Verdana" w:hAnsi="Verdana"/>
                <w:sz w:val="20"/>
                <w:szCs w:val="20"/>
              </w:rPr>
              <w:t>ä</w:t>
            </w:r>
            <w:r w:rsidRPr="00515FF3">
              <w:rPr>
                <w:rFonts w:ascii="Verdana" w:hAnsi="Verdana"/>
                <w:sz w:val="20"/>
                <w:szCs w:val="20"/>
              </w:rPr>
              <w:t>n</w:t>
            </w:r>
            <w:proofErr w:type="spellEnd"/>
            <w:r w:rsidRPr="00515FF3">
              <w:rPr>
                <w:rFonts w:ascii="Verdana" w:hAnsi="Verdana"/>
                <w:sz w:val="20"/>
                <w:szCs w:val="20"/>
              </w:rPr>
              <w:t xml:space="preserve"> on huomioitava, että palvelun tai rakennusurakan lisätilaus edellyttää, että lisätilauksesta on mainittu alkuperäisessä hankintailmoituksessa ja lisätilauksen arvo on otettu huomioon alkuperäisessä kilpailutuksessa.</w:t>
            </w:r>
          </w:p>
          <w:p w14:paraId="4DFEF3A6" w14:textId="77777777" w:rsidR="00515FF3" w:rsidRPr="00515FF3" w:rsidRDefault="00515FF3" w:rsidP="00515FF3">
            <w:pPr>
              <w:jc w:val="both"/>
              <w:rPr>
                <w:rFonts w:ascii="Verdana" w:hAnsi="Verdana"/>
                <w:sz w:val="20"/>
                <w:szCs w:val="20"/>
              </w:rPr>
            </w:pPr>
          </w:p>
          <w:p w14:paraId="48D615C0" w14:textId="77777777" w:rsidR="00515FF3" w:rsidRPr="00515FF3" w:rsidRDefault="00515FF3" w:rsidP="00515FF3">
            <w:pPr>
              <w:jc w:val="both"/>
              <w:rPr>
                <w:rFonts w:ascii="Verdana" w:hAnsi="Verdana"/>
                <w:sz w:val="20"/>
                <w:szCs w:val="20"/>
              </w:rPr>
            </w:pPr>
            <w:r w:rsidRPr="00515FF3">
              <w:rPr>
                <w:rFonts w:ascii="Verdana" w:hAnsi="Verdana"/>
                <w:sz w:val="20"/>
                <w:szCs w:val="20"/>
              </w:rPr>
              <w:t>Myös palveluhankinnan ja rakennusurakan lisätilausta koskee ajallinen rajoitus, mutta ajallinen rajoitus poikkeaa tavarahankinnan lisätilauksesta. Palveluhankintojen ja rakennusurakan lisätilaus on tehtävä kolmen vuoden kuluessa alkuperäisen sopimuksen allekirjoittamisesta. Säännöksessä ei kuitenkaan oteta kantaa siihen, kuinka pitkä uudistettava sopimus voisi olla.</w:t>
            </w:r>
          </w:p>
          <w:p w14:paraId="580D368C" w14:textId="77777777" w:rsidR="00515FF3" w:rsidRPr="00515FF3" w:rsidRDefault="00515FF3" w:rsidP="00515FF3">
            <w:pPr>
              <w:jc w:val="both"/>
              <w:rPr>
                <w:rFonts w:ascii="Verdana" w:hAnsi="Verdana"/>
                <w:sz w:val="20"/>
                <w:szCs w:val="20"/>
              </w:rPr>
            </w:pPr>
          </w:p>
          <w:p w14:paraId="5ECC39F1" w14:textId="62B02EB3" w:rsidR="00515FF3" w:rsidRPr="00571097" w:rsidRDefault="00515FF3" w:rsidP="00515FF3">
            <w:pPr>
              <w:jc w:val="both"/>
              <w:rPr>
                <w:rFonts w:ascii="Verdana" w:hAnsi="Verdana"/>
                <w:sz w:val="20"/>
                <w:szCs w:val="20"/>
              </w:rPr>
            </w:pPr>
            <w:r w:rsidRPr="00515FF3">
              <w:rPr>
                <w:rFonts w:ascii="Verdana" w:hAnsi="Verdana"/>
                <w:sz w:val="20"/>
                <w:szCs w:val="20"/>
              </w:rPr>
              <w:t xml:space="preserve">On tärkeää huomata, että sekä tavaroiden </w:t>
            </w:r>
            <w:r w:rsidR="00352DF9">
              <w:rPr>
                <w:rFonts w:ascii="Verdana" w:hAnsi="Verdana"/>
                <w:sz w:val="20"/>
                <w:szCs w:val="20"/>
              </w:rPr>
              <w:t>lisätilausta</w:t>
            </w:r>
            <w:r w:rsidRPr="00515FF3">
              <w:rPr>
                <w:rFonts w:ascii="Verdana" w:hAnsi="Verdana"/>
                <w:sz w:val="20"/>
                <w:szCs w:val="20"/>
              </w:rPr>
              <w:t xml:space="preserve"> että palveluiden ja rakennusurakoiden lisätilausta koskevien säännösten soveltaminen edellyttää kumulatiivisten ehtojen täyttymistä. Näin ollen kaikkien säännöksissä (joko 41.1 § tai 41.2 §) mainittujen ehtojen on täytyttävä, jotta suorahankinta olisi mahdollinen.</w:t>
            </w:r>
          </w:p>
        </w:tc>
      </w:tr>
    </w:tbl>
    <w:p w14:paraId="35752AE0" w14:textId="07190939" w:rsidR="002024B7" w:rsidRPr="000D632E" w:rsidRDefault="002024B7" w:rsidP="000D632E">
      <w:pPr>
        <w:jc w:val="both"/>
        <w:rPr>
          <w:rFonts w:ascii="Verdana" w:hAnsi="Verdana"/>
          <w:sz w:val="20"/>
          <w:szCs w:val="20"/>
        </w:rPr>
      </w:pPr>
    </w:p>
    <w:sectPr w:rsidR="002024B7" w:rsidRPr="000D632E" w:rsidSect="006A2E99">
      <w:headerReference w:type="default" r:id="rId39"/>
      <w:footerReference w:type="default" r:id="rId40"/>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D8463" w14:textId="77777777" w:rsidR="00093CDD" w:rsidRDefault="00093CDD" w:rsidP="00491BE6">
      <w:pPr>
        <w:spacing w:after="0" w:line="240" w:lineRule="auto"/>
      </w:pPr>
      <w:r>
        <w:separator/>
      </w:r>
    </w:p>
  </w:endnote>
  <w:endnote w:type="continuationSeparator" w:id="0">
    <w:p w14:paraId="292D1525" w14:textId="77777777" w:rsidR="00093CDD" w:rsidRDefault="00093CDD" w:rsidP="0049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750937"/>
      <w:docPartObj>
        <w:docPartGallery w:val="Page Numbers (Bottom of Page)"/>
        <w:docPartUnique/>
      </w:docPartObj>
    </w:sdtPr>
    <w:sdtEndPr/>
    <w:sdtContent>
      <w:sdt>
        <w:sdtPr>
          <w:id w:val="-1769616900"/>
          <w:docPartObj>
            <w:docPartGallery w:val="Page Numbers (Top of Page)"/>
            <w:docPartUnique/>
          </w:docPartObj>
        </w:sdtPr>
        <w:sdtEndPr/>
        <w:sdtContent>
          <w:p w14:paraId="0CAF3F84" w14:textId="77777777" w:rsidR="00093CDD" w:rsidRDefault="00093CDD">
            <w:pPr>
              <w:pStyle w:val="Alatunniste"/>
              <w:jc w:val="right"/>
            </w:pPr>
          </w:p>
          <w:p w14:paraId="5EEC49EA" w14:textId="5B134AFE" w:rsidR="002A0DF1" w:rsidRDefault="0080698C" w:rsidP="002A0DF1">
            <w:pPr>
              <w:pStyle w:val="Alatunniste"/>
              <w:jc w:val="right"/>
              <w:rPr>
                <w:color w:val="FF0000"/>
              </w:rPr>
            </w:pPr>
            <w:bookmarkStart w:id="1" w:name="_Hlk513621699"/>
            <w:r>
              <w:rPr>
                <w:color w:val="FF0000"/>
              </w:rPr>
              <w:t>VERSIO 1.0</w:t>
            </w:r>
            <w:r w:rsidR="002A0DF1" w:rsidRPr="009C67D9">
              <w:rPr>
                <w:color w:val="FF0000"/>
              </w:rPr>
              <w:t xml:space="preserve"> </w:t>
            </w:r>
          </w:p>
          <w:p w14:paraId="29DC8AAC" w14:textId="77777777" w:rsidR="002A0DF1" w:rsidRPr="009C67D9" w:rsidRDefault="002A0DF1" w:rsidP="002A0DF1">
            <w:pPr>
              <w:pStyle w:val="Alatunniste"/>
              <w:jc w:val="right"/>
              <w:rPr>
                <w:color w:val="FF0000"/>
              </w:rPr>
            </w:pPr>
            <w:r w:rsidRPr="009C67D9">
              <w:rPr>
                <w:color w:val="FF0000"/>
              </w:rPr>
              <w:t>PÄIVITETTÄVÄ KUN LAKI JA OIKEUSKÄYTÄNTÖ MUUTTUU</w:t>
            </w:r>
          </w:p>
          <w:bookmarkEnd w:id="1"/>
          <w:p w14:paraId="27D6FFC6" w14:textId="77777777" w:rsidR="002A0DF1" w:rsidRDefault="002A0DF1">
            <w:pPr>
              <w:pStyle w:val="Alatunniste"/>
              <w:jc w:val="right"/>
              <w:rPr>
                <w:b/>
                <w:bCs/>
                <w:sz w:val="24"/>
                <w:szCs w:val="24"/>
              </w:rPr>
            </w:pPr>
          </w:p>
          <w:p w14:paraId="7FB9AC60" w14:textId="3E73F4E3" w:rsidR="00093CDD" w:rsidRDefault="00093CDD">
            <w:pPr>
              <w:pStyle w:val="Alatunniste"/>
              <w:jc w:val="right"/>
            </w:pPr>
            <w:r>
              <w:rPr>
                <w:b/>
                <w:bCs/>
                <w:sz w:val="24"/>
                <w:szCs w:val="24"/>
              </w:rPr>
              <w:fldChar w:fldCharType="begin"/>
            </w:r>
            <w:r>
              <w:rPr>
                <w:b/>
                <w:bCs/>
              </w:rPr>
              <w:instrText>PAGE</w:instrText>
            </w:r>
            <w:r>
              <w:rPr>
                <w:b/>
                <w:bCs/>
                <w:sz w:val="24"/>
                <w:szCs w:val="24"/>
              </w:rPr>
              <w:fldChar w:fldCharType="separate"/>
            </w:r>
            <w:r w:rsidR="0054258C">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4258C">
              <w:rPr>
                <w:b/>
                <w:bCs/>
                <w:noProof/>
              </w:rPr>
              <w:t>25</w:t>
            </w:r>
            <w:r>
              <w:rPr>
                <w:b/>
                <w:bCs/>
                <w:sz w:val="24"/>
                <w:szCs w:val="24"/>
              </w:rPr>
              <w:fldChar w:fldCharType="end"/>
            </w:r>
          </w:p>
        </w:sdtContent>
      </w:sdt>
    </w:sdtContent>
  </w:sdt>
  <w:p w14:paraId="3C409A3D" w14:textId="77777777" w:rsidR="00093CDD" w:rsidRDefault="00093CD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4258A" w14:textId="77777777" w:rsidR="00093CDD" w:rsidRDefault="00093CDD" w:rsidP="00491BE6">
      <w:pPr>
        <w:spacing w:after="0" w:line="240" w:lineRule="auto"/>
      </w:pPr>
      <w:r>
        <w:separator/>
      </w:r>
    </w:p>
  </w:footnote>
  <w:footnote w:type="continuationSeparator" w:id="0">
    <w:p w14:paraId="26EAF081" w14:textId="77777777" w:rsidR="00093CDD" w:rsidRDefault="00093CDD" w:rsidP="00491BE6">
      <w:pPr>
        <w:spacing w:after="0" w:line="240" w:lineRule="auto"/>
      </w:pPr>
      <w:r>
        <w:continuationSeparator/>
      </w:r>
    </w:p>
  </w:footnote>
  <w:footnote w:id="1">
    <w:p w14:paraId="331BF8B8" w14:textId="3A09606B" w:rsidR="003D5416" w:rsidRDefault="003D5416">
      <w:pPr>
        <w:pStyle w:val="Alaviitteenteksti"/>
      </w:pPr>
      <w:r>
        <w:rPr>
          <w:rStyle w:val="Alaviitteenviite"/>
        </w:rPr>
        <w:footnoteRef/>
      </w:r>
      <w:r>
        <w:t xml:space="preserve"> K</w:t>
      </w:r>
      <w:r w:rsidRPr="003D5416">
        <w:t>s. esim. C-394/02 Euroopan yhteisöjen komissio vastaan Helleenien tasavalta, kohta 33 sekä C-337/05 Euroopan yhteisöjen komissio vastaan Italian tasavalta, kohta 57</w:t>
      </w:r>
      <w:r>
        <w:t>.</w:t>
      </w:r>
    </w:p>
  </w:footnote>
  <w:footnote w:id="2">
    <w:p w14:paraId="48713AC5" w14:textId="3A62E832" w:rsidR="003D5416" w:rsidRDefault="003D5416">
      <w:pPr>
        <w:pStyle w:val="Alaviitteenteksti"/>
      </w:pPr>
      <w:r>
        <w:rPr>
          <w:rStyle w:val="Alaviitteenviite"/>
        </w:rPr>
        <w:footnoteRef/>
      </w:r>
      <w:r>
        <w:t xml:space="preserve"> K</w:t>
      </w:r>
      <w:r w:rsidRPr="003D5416">
        <w:t>s. esimerkiksi C-337/05 Euroopan yhteisöjen komissio vastaan Italian tasavalta, kohta 58</w:t>
      </w:r>
    </w:p>
  </w:footnote>
  <w:footnote w:id="3">
    <w:p w14:paraId="53B56A92" w14:textId="7EF78EC8" w:rsidR="003D5416" w:rsidRDefault="003D5416">
      <w:pPr>
        <w:pStyle w:val="Alaviitteenteksti"/>
      </w:pPr>
      <w:r>
        <w:rPr>
          <w:rStyle w:val="Alaviitteenviite"/>
        </w:rPr>
        <w:footnoteRef/>
      </w:r>
      <w:r>
        <w:t xml:space="preserve"> KHO:2010:20</w:t>
      </w:r>
      <w:r w:rsidRPr="003D5416">
        <w:t>.</w:t>
      </w:r>
    </w:p>
  </w:footnote>
  <w:footnote w:id="4">
    <w:p w14:paraId="3BFB26FF" w14:textId="1EBEFE43" w:rsidR="006F062B" w:rsidRDefault="006F062B">
      <w:pPr>
        <w:pStyle w:val="Alaviitteenteksti"/>
      </w:pPr>
      <w:r>
        <w:rPr>
          <w:rStyle w:val="Alaviitteenviite"/>
        </w:rPr>
        <w:footnoteRef/>
      </w:r>
      <w:r>
        <w:t xml:space="preserve"> S.136-137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520E" w14:textId="303FD57E" w:rsidR="002A0DF1" w:rsidRPr="00750709" w:rsidRDefault="002A0DF1" w:rsidP="002A0DF1">
    <w:pPr>
      <w:pStyle w:val="Yltunniste"/>
      <w:rPr>
        <w:rFonts w:ascii="Verdana" w:hAnsi="Verdana"/>
        <w:b/>
        <w:i/>
        <w:sz w:val="20"/>
        <w:szCs w:val="20"/>
      </w:rPr>
    </w:pPr>
    <w:r w:rsidRPr="00750709">
      <w:rPr>
        <w:rFonts w:ascii="Verdana" w:hAnsi="Verdana"/>
        <w:b/>
        <w:sz w:val="20"/>
        <w:szCs w:val="20"/>
      </w:rPr>
      <w:t>LIITE 3</w:t>
    </w:r>
    <w:r w:rsidR="0080698C">
      <w:rPr>
        <w:rFonts w:ascii="Verdana" w:hAnsi="Verdana"/>
        <w:b/>
        <w:sz w:val="20"/>
        <w:szCs w:val="20"/>
      </w:rPr>
      <w:t>.3 Lisätilaus</w:t>
    </w:r>
    <w:r w:rsidRPr="00750709">
      <w:rPr>
        <w:rFonts w:ascii="Verdana" w:hAnsi="Verdana"/>
        <w:b/>
        <w:sz w:val="20"/>
        <w:szCs w:val="20"/>
      </w:rPr>
      <w:tab/>
    </w:r>
    <w:r w:rsidRPr="00750709">
      <w:rPr>
        <w:rFonts w:ascii="Verdana" w:hAnsi="Verdana"/>
        <w:b/>
        <w:sz w:val="20"/>
        <w:szCs w:val="20"/>
      </w:rPr>
      <w:tab/>
    </w:r>
    <w:r w:rsidR="00404E3F">
      <w:rPr>
        <w:rFonts w:ascii="Verdana" w:hAnsi="Verdana"/>
        <w:b/>
        <w:i/>
        <w:sz w:val="20"/>
        <w:szCs w:val="20"/>
      </w:rPr>
      <w:t>Versio 1.0</w:t>
    </w:r>
  </w:p>
  <w:p w14:paraId="35AA52C6" w14:textId="18AE61EB" w:rsidR="00093CDD" w:rsidRPr="00055EE3" w:rsidRDefault="00093CDD">
    <w:pPr>
      <w:pStyle w:val="Yltunniste"/>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Pr="00055EE3">
      <w:rPr>
        <w:rFonts w:ascii="Verdana" w:hAnsi="Verdan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C67"/>
    <w:multiLevelType w:val="hybridMultilevel"/>
    <w:tmpl w:val="02A840FE"/>
    <w:lvl w:ilvl="0" w:tplc="B062174C">
      <w:start w:val="9"/>
      <w:numFmt w:val="bullet"/>
      <w:lvlText w:val="-"/>
      <w:lvlJc w:val="left"/>
      <w:pPr>
        <w:ind w:left="1440" w:hanging="360"/>
      </w:pPr>
      <w:rPr>
        <w:rFonts w:ascii="Calibri" w:eastAsiaTheme="minorHAnsi" w:hAnsi="Calibri" w:cstheme="minorBidi" w:hint="default"/>
        <w:b w:val="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8CB0C0B"/>
    <w:multiLevelType w:val="hybridMultilevel"/>
    <w:tmpl w:val="9A620D02"/>
    <w:lvl w:ilvl="0" w:tplc="B1D6025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595411"/>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E3313D"/>
    <w:multiLevelType w:val="hybridMultilevel"/>
    <w:tmpl w:val="0C34996A"/>
    <w:lvl w:ilvl="0" w:tplc="EE408C26">
      <w:start w:val="3"/>
      <w:numFmt w:val="bullet"/>
      <w:lvlText w:val=""/>
      <w:lvlJc w:val="left"/>
      <w:pPr>
        <w:ind w:left="360" w:hanging="360"/>
      </w:pPr>
      <w:rPr>
        <w:rFonts w:ascii="Symbol" w:eastAsiaTheme="minorHAnsi" w:hAnsi="Symbol"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D2E3CF3"/>
    <w:multiLevelType w:val="hybridMultilevel"/>
    <w:tmpl w:val="E988BE94"/>
    <w:lvl w:ilvl="0" w:tplc="4F2CDA9A">
      <w:start w:val="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C4A14"/>
    <w:multiLevelType w:val="hybridMultilevel"/>
    <w:tmpl w:val="C0506E4A"/>
    <w:lvl w:ilvl="0" w:tplc="48C88938">
      <w:start w:val="10"/>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B9753D"/>
    <w:multiLevelType w:val="hybridMultilevel"/>
    <w:tmpl w:val="4CA48504"/>
    <w:lvl w:ilvl="0" w:tplc="3E5495D4">
      <w:start w:val="6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5D373D8"/>
    <w:multiLevelType w:val="hybridMultilevel"/>
    <w:tmpl w:val="C566756C"/>
    <w:lvl w:ilvl="0" w:tplc="C346FAD2">
      <w:start w:val="6"/>
      <w:numFmt w:val="bullet"/>
      <w:lvlText w:val="-"/>
      <w:lvlJc w:val="left"/>
      <w:pPr>
        <w:ind w:left="360" w:hanging="360"/>
      </w:pPr>
      <w:rPr>
        <w:rFonts w:ascii="Verdana" w:eastAsia="Times New Roman" w:hAnsi="Verdana"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D0F0BEB"/>
    <w:multiLevelType w:val="hybridMultilevel"/>
    <w:tmpl w:val="2CB6C95C"/>
    <w:lvl w:ilvl="0" w:tplc="FFFFFFF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27121CF0"/>
    <w:multiLevelType w:val="hybridMultilevel"/>
    <w:tmpl w:val="5010E034"/>
    <w:lvl w:ilvl="0" w:tplc="19729608">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24539F3"/>
    <w:multiLevelType w:val="hybridMultilevel"/>
    <w:tmpl w:val="A840240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6C446EB"/>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394D70"/>
    <w:multiLevelType w:val="hybridMultilevel"/>
    <w:tmpl w:val="054A6096"/>
    <w:lvl w:ilvl="0" w:tplc="948C3ABA">
      <w:start w:val="3"/>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3501DCF"/>
    <w:multiLevelType w:val="hybridMultilevel"/>
    <w:tmpl w:val="735AAF8E"/>
    <w:lvl w:ilvl="0" w:tplc="8FE8642C">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92F5359"/>
    <w:multiLevelType w:val="hybridMultilevel"/>
    <w:tmpl w:val="70D4D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95F0B0B"/>
    <w:multiLevelType w:val="hybridMultilevel"/>
    <w:tmpl w:val="6A8E2B4A"/>
    <w:lvl w:ilvl="0" w:tplc="A66E63D6">
      <w:start w:val="6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CE07232"/>
    <w:multiLevelType w:val="hybridMultilevel"/>
    <w:tmpl w:val="8AE044C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F775DC9"/>
    <w:multiLevelType w:val="hybridMultilevel"/>
    <w:tmpl w:val="7E945D64"/>
    <w:lvl w:ilvl="0" w:tplc="52805246">
      <w:start w:val="1"/>
      <w:numFmt w:val="bullet"/>
      <w:lvlText w:val="•"/>
      <w:lvlJc w:val="left"/>
      <w:pPr>
        <w:tabs>
          <w:tab w:val="num" w:pos="720"/>
        </w:tabs>
        <w:ind w:left="720" w:hanging="360"/>
      </w:pPr>
      <w:rPr>
        <w:rFonts w:ascii="Times New Roman" w:hAnsi="Times New Roman" w:hint="default"/>
      </w:rPr>
    </w:lvl>
    <w:lvl w:ilvl="1" w:tplc="C7C0BDA6" w:tentative="1">
      <w:start w:val="1"/>
      <w:numFmt w:val="bullet"/>
      <w:lvlText w:val="•"/>
      <w:lvlJc w:val="left"/>
      <w:pPr>
        <w:tabs>
          <w:tab w:val="num" w:pos="1440"/>
        </w:tabs>
        <w:ind w:left="1440" w:hanging="360"/>
      </w:pPr>
      <w:rPr>
        <w:rFonts w:ascii="Times New Roman" w:hAnsi="Times New Roman" w:hint="default"/>
      </w:rPr>
    </w:lvl>
    <w:lvl w:ilvl="2" w:tplc="148EE52C" w:tentative="1">
      <w:start w:val="1"/>
      <w:numFmt w:val="bullet"/>
      <w:lvlText w:val="•"/>
      <w:lvlJc w:val="left"/>
      <w:pPr>
        <w:tabs>
          <w:tab w:val="num" w:pos="2160"/>
        </w:tabs>
        <w:ind w:left="2160" w:hanging="360"/>
      </w:pPr>
      <w:rPr>
        <w:rFonts w:ascii="Times New Roman" w:hAnsi="Times New Roman" w:hint="default"/>
      </w:rPr>
    </w:lvl>
    <w:lvl w:ilvl="3" w:tplc="50E86E3A" w:tentative="1">
      <w:start w:val="1"/>
      <w:numFmt w:val="bullet"/>
      <w:lvlText w:val="•"/>
      <w:lvlJc w:val="left"/>
      <w:pPr>
        <w:tabs>
          <w:tab w:val="num" w:pos="2880"/>
        </w:tabs>
        <w:ind w:left="2880" w:hanging="360"/>
      </w:pPr>
      <w:rPr>
        <w:rFonts w:ascii="Times New Roman" w:hAnsi="Times New Roman" w:hint="default"/>
      </w:rPr>
    </w:lvl>
    <w:lvl w:ilvl="4" w:tplc="0E88E984" w:tentative="1">
      <w:start w:val="1"/>
      <w:numFmt w:val="bullet"/>
      <w:lvlText w:val="•"/>
      <w:lvlJc w:val="left"/>
      <w:pPr>
        <w:tabs>
          <w:tab w:val="num" w:pos="3600"/>
        </w:tabs>
        <w:ind w:left="3600" w:hanging="360"/>
      </w:pPr>
      <w:rPr>
        <w:rFonts w:ascii="Times New Roman" w:hAnsi="Times New Roman" w:hint="default"/>
      </w:rPr>
    </w:lvl>
    <w:lvl w:ilvl="5" w:tplc="19ECE7A6" w:tentative="1">
      <w:start w:val="1"/>
      <w:numFmt w:val="bullet"/>
      <w:lvlText w:val="•"/>
      <w:lvlJc w:val="left"/>
      <w:pPr>
        <w:tabs>
          <w:tab w:val="num" w:pos="4320"/>
        </w:tabs>
        <w:ind w:left="4320" w:hanging="360"/>
      </w:pPr>
      <w:rPr>
        <w:rFonts w:ascii="Times New Roman" w:hAnsi="Times New Roman" w:hint="default"/>
      </w:rPr>
    </w:lvl>
    <w:lvl w:ilvl="6" w:tplc="526C6BC8" w:tentative="1">
      <w:start w:val="1"/>
      <w:numFmt w:val="bullet"/>
      <w:lvlText w:val="•"/>
      <w:lvlJc w:val="left"/>
      <w:pPr>
        <w:tabs>
          <w:tab w:val="num" w:pos="5040"/>
        </w:tabs>
        <w:ind w:left="5040" w:hanging="360"/>
      </w:pPr>
      <w:rPr>
        <w:rFonts w:ascii="Times New Roman" w:hAnsi="Times New Roman" w:hint="default"/>
      </w:rPr>
    </w:lvl>
    <w:lvl w:ilvl="7" w:tplc="720A5F80" w:tentative="1">
      <w:start w:val="1"/>
      <w:numFmt w:val="bullet"/>
      <w:lvlText w:val="•"/>
      <w:lvlJc w:val="left"/>
      <w:pPr>
        <w:tabs>
          <w:tab w:val="num" w:pos="5760"/>
        </w:tabs>
        <w:ind w:left="5760" w:hanging="360"/>
      </w:pPr>
      <w:rPr>
        <w:rFonts w:ascii="Times New Roman" w:hAnsi="Times New Roman" w:hint="default"/>
      </w:rPr>
    </w:lvl>
    <w:lvl w:ilvl="8" w:tplc="08669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A4417C"/>
    <w:multiLevelType w:val="hybridMultilevel"/>
    <w:tmpl w:val="74347A8C"/>
    <w:lvl w:ilvl="0" w:tplc="C43A6580">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7BB6132"/>
    <w:multiLevelType w:val="hybridMultilevel"/>
    <w:tmpl w:val="65303DA8"/>
    <w:lvl w:ilvl="0" w:tplc="C29C91E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57451E4"/>
    <w:multiLevelType w:val="hybridMultilevel"/>
    <w:tmpl w:val="57A6FE42"/>
    <w:lvl w:ilvl="0" w:tplc="C346FAD2">
      <w:start w:val="6"/>
      <w:numFmt w:val="bullet"/>
      <w:lvlText w:val="-"/>
      <w:lvlJc w:val="left"/>
      <w:pPr>
        <w:ind w:left="360" w:hanging="360"/>
      </w:pPr>
      <w:rPr>
        <w:rFonts w:ascii="Verdana" w:eastAsia="Times New Roman" w:hAnsi="Verdana"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6D0A6838"/>
    <w:multiLevelType w:val="hybridMultilevel"/>
    <w:tmpl w:val="DEC276F6"/>
    <w:lvl w:ilvl="0" w:tplc="51E29D88">
      <w:start w:val="1"/>
      <w:numFmt w:val="bullet"/>
      <w:lvlText w:val="•"/>
      <w:lvlJc w:val="left"/>
      <w:pPr>
        <w:tabs>
          <w:tab w:val="num" w:pos="720"/>
        </w:tabs>
        <w:ind w:left="720" w:hanging="360"/>
      </w:pPr>
      <w:rPr>
        <w:rFonts w:ascii="Times New Roman" w:hAnsi="Times New Roman" w:hint="default"/>
      </w:rPr>
    </w:lvl>
    <w:lvl w:ilvl="1" w:tplc="EAB6F9B0" w:tentative="1">
      <w:start w:val="1"/>
      <w:numFmt w:val="bullet"/>
      <w:lvlText w:val="•"/>
      <w:lvlJc w:val="left"/>
      <w:pPr>
        <w:tabs>
          <w:tab w:val="num" w:pos="1440"/>
        </w:tabs>
        <w:ind w:left="1440" w:hanging="360"/>
      </w:pPr>
      <w:rPr>
        <w:rFonts w:ascii="Times New Roman" w:hAnsi="Times New Roman" w:hint="default"/>
      </w:rPr>
    </w:lvl>
    <w:lvl w:ilvl="2" w:tplc="84623040" w:tentative="1">
      <w:start w:val="1"/>
      <w:numFmt w:val="bullet"/>
      <w:lvlText w:val="•"/>
      <w:lvlJc w:val="left"/>
      <w:pPr>
        <w:tabs>
          <w:tab w:val="num" w:pos="2160"/>
        </w:tabs>
        <w:ind w:left="2160" w:hanging="360"/>
      </w:pPr>
      <w:rPr>
        <w:rFonts w:ascii="Times New Roman" w:hAnsi="Times New Roman" w:hint="default"/>
      </w:rPr>
    </w:lvl>
    <w:lvl w:ilvl="3" w:tplc="643E0766" w:tentative="1">
      <w:start w:val="1"/>
      <w:numFmt w:val="bullet"/>
      <w:lvlText w:val="•"/>
      <w:lvlJc w:val="left"/>
      <w:pPr>
        <w:tabs>
          <w:tab w:val="num" w:pos="2880"/>
        </w:tabs>
        <w:ind w:left="2880" w:hanging="360"/>
      </w:pPr>
      <w:rPr>
        <w:rFonts w:ascii="Times New Roman" w:hAnsi="Times New Roman" w:hint="default"/>
      </w:rPr>
    </w:lvl>
    <w:lvl w:ilvl="4" w:tplc="377E40DC" w:tentative="1">
      <w:start w:val="1"/>
      <w:numFmt w:val="bullet"/>
      <w:lvlText w:val="•"/>
      <w:lvlJc w:val="left"/>
      <w:pPr>
        <w:tabs>
          <w:tab w:val="num" w:pos="3600"/>
        </w:tabs>
        <w:ind w:left="3600" w:hanging="360"/>
      </w:pPr>
      <w:rPr>
        <w:rFonts w:ascii="Times New Roman" w:hAnsi="Times New Roman" w:hint="default"/>
      </w:rPr>
    </w:lvl>
    <w:lvl w:ilvl="5" w:tplc="94925112" w:tentative="1">
      <w:start w:val="1"/>
      <w:numFmt w:val="bullet"/>
      <w:lvlText w:val="•"/>
      <w:lvlJc w:val="left"/>
      <w:pPr>
        <w:tabs>
          <w:tab w:val="num" w:pos="4320"/>
        </w:tabs>
        <w:ind w:left="4320" w:hanging="360"/>
      </w:pPr>
      <w:rPr>
        <w:rFonts w:ascii="Times New Roman" w:hAnsi="Times New Roman" w:hint="default"/>
      </w:rPr>
    </w:lvl>
    <w:lvl w:ilvl="6" w:tplc="7DD82876" w:tentative="1">
      <w:start w:val="1"/>
      <w:numFmt w:val="bullet"/>
      <w:lvlText w:val="•"/>
      <w:lvlJc w:val="left"/>
      <w:pPr>
        <w:tabs>
          <w:tab w:val="num" w:pos="5040"/>
        </w:tabs>
        <w:ind w:left="5040" w:hanging="360"/>
      </w:pPr>
      <w:rPr>
        <w:rFonts w:ascii="Times New Roman" w:hAnsi="Times New Roman" w:hint="default"/>
      </w:rPr>
    </w:lvl>
    <w:lvl w:ilvl="7" w:tplc="BD981FE6" w:tentative="1">
      <w:start w:val="1"/>
      <w:numFmt w:val="bullet"/>
      <w:lvlText w:val="•"/>
      <w:lvlJc w:val="left"/>
      <w:pPr>
        <w:tabs>
          <w:tab w:val="num" w:pos="5760"/>
        </w:tabs>
        <w:ind w:left="5760" w:hanging="360"/>
      </w:pPr>
      <w:rPr>
        <w:rFonts w:ascii="Times New Roman" w:hAnsi="Times New Roman" w:hint="default"/>
      </w:rPr>
    </w:lvl>
    <w:lvl w:ilvl="8" w:tplc="28C0B69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8FF3225"/>
    <w:multiLevelType w:val="hybridMultilevel"/>
    <w:tmpl w:val="E828FB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7FA53037"/>
    <w:multiLevelType w:val="hybridMultilevel"/>
    <w:tmpl w:val="0DD61128"/>
    <w:lvl w:ilvl="0" w:tplc="2B78FD1E">
      <w:start w:val="6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FB63229"/>
    <w:multiLevelType w:val="hybridMultilevel"/>
    <w:tmpl w:val="0C509DCE"/>
    <w:lvl w:ilvl="0" w:tplc="F882339A">
      <w:start w:val="9"/>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4"/>
  </w:num>
  <w:num w:numId="4">
    <w:abstractNumId w:val="4"/>
  </w:num>
  <w:num w:numId="5">
    <w:abstractNumId w:val="14"/>
  </w:num>
  <w:num w:numId="6">
    <w:abstractNumId w:val="1"/>
  </w:num>
  <w:num w:numId="7">
    <w:abstractNumId w:val="5"/>
  </w:num>
  <w:num w:numId="8">
    <w:abstractNumId w:val="9"/>
  </w:num>
  <w:num w:numId="9">
    <w:abstractNumId w:val="18"/>
  </w:num>
  <w:num w:numId="10">
    <w:abstractNumId w:val="0"/>
  </w:num>
  <w:num w:numId="11">
    <w:abstractNumId w:val="15"/>
  </w:num>
  <w:num w:numId="12">
    <w:abstractNumId w:val="23"/>
  </w:num>
  <w:num w:numId="13">
    <w:abstractNumId w:val="6"/>
  </w:num>
  <w:num w:numId="14">
    <w:abstractNumId w:val="3"/>
  </w:num>
  <w:num w:numId="15">
    <w:abstractNumId w:val="8"/>
  </w:num>
  <w:num w:numId="16">
    <w:abstractNumId w:val="12"/>
  </w:num>
  <w:num w:numId="17">
    <w:abstractNumId w:val="21"/>
  </w:num>
  <w:num w:numId="18">
    <w:abstractNumId w:val="17"/>
  </w:num>
  <w:num w:numId="19">
    <w:abstractNumId w:val="11"/>
  </w:num>
  <w:num w:numId="20">
    <w:abstractNumId w:val="2"/>
  </w:num>
  <w:num w:numId="21">
    <w:abstractNumId w:val="16"/>
  </w:num>
  <w:num w:numId="22">
    <w:abstractNumId w:val="13"/>
  </w:num>
  <w:num w:numId="23">
    <w:abstractNumId w:val="20"/>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99"/>
    <w:rsid w:val="00026489"/>
    <w:rsid w:val="00030401"/>
    <w:rsid w:val="00055EE3"/>
    <w:rsid w:val="00074FF6"/>
    <w:rsid w:val="00093CDD"/>
    <w:rsid w:val="000A1B04"/>
    <w:rsid w:val="000B7A60"/>
    <w:rsid w:val="000D0297"/>
    <w:rsid w:val="000D22EA"/>
    <w:rsid w:val="000D632E"/>
    <w:rsid w:val="000E0F5B"/>
    <w:rsid w:val="00102935"/>
    <w:rsid w:val="001317EC"/>
    <w:rsid w:val="00142D27"/>
    <w:rsid w:val="00154C4A"/>
    <w:rsid w:val="00154E0E"/>
    <w:rsid w:val="001674B8"/>
    <w:rsid w:val="0018685A"/>
    <w:rsid w:val="00186ED7"/>
    <w:rsid w:val="001B381E"/>
    <w:rsid w:val="001C1C64"/>
    <w:rsid w:val="001C75C4"/>
    <w:rsid w:val="001D09CA"/>
    <w:rsid w:val="001E6790"/>
    <w:rsid w:val="002024B7"/>
    <w:rsid w:val="00224D80"/>
    <w:rsid w:val="002625B9"/>
    <w:rsid w:val="00292932"/>
    <w:rsid w:val="002A042F"/>
    <w:rsid w:val="002A0DF1"/>
    <w:rsid w:val="002C75A7"/>
    <w:rsid w:val="002D7AAE"/>
    <w:rsid w:val="002E23CD"/>
    <w:rsid w:val="00307A86"/>
    <w:rsid w:val="0031071B"/>
    <w:rsid w:val="00352DF9"/>
    <w:rsid w:val="00354C22"/>
    <w:rsid w:val="003721CB"/>
    <w:rsid w:val="00383464"/>
    <w:rsid w:val="003907A0"/>
    <w:rsid w:val="00397BAD"/>
    <w:rsid w:val="003B0E65"/>
    <w:rsid w:val="003B1086"/>
    <w:rsid w:val="003B16C1"/>
    <w:rsid w:val="003B6736"/>
    <w:rsid w:val="003C6890"/>
    <w:rsid w:val="003D4E3B"/>
    <w:rsid w:val="003D5416"/>
    <w:rsid w:val="003F5D07"/>
    <w:rsid w:val="00404E3F"/>
    <w:rsid w:val="00412336"/>
    <w:rsid w:val="004312B6"/>
    <w:rsid w:val="004379A1"/>
    <w:rsid w:val="00452005"/>
    <w:rsid w:val="00471B86"/>
    <w:rsid w:val="00491BE6"/>
    <w:rsid w:val="0049651F"/>
    <w:rsid w:val="004A3BAB"/>
    <w:rsid w:val="004B17EE"/>
    <w:rsid w:val="004B18E0"/>
    <w:rsid w:val="004C325F"/>
    <w:rsid w:val="004C6A49"/>
    <w:rsid w:val="004D752B"/>
    <w:rsid w:val="004E5DB3"/>
    <w:rsid w:val="004E6D13"/>
    <w:rsid w:val="00507C41"/>
    <w:rsid w:val="00515FF3"/>
    <w:rsid w:val="0053506F"/>
    <w:rsid w:val="0054258C"/>
    <w:rsid w:val="00552243"/>
    <w:rsid w:val="00553650"/>
    <w:rsid w:val="005578FC"/>
    <w:rsid w:val="00571097"/>
    <w:rsid w:val="005865CB"/>
    <w:rsid w:val="0058720B"/>
    <w:rsid w:val="005A41A1"/>
    <w:rsid w:val="005A6108"/>
    <w:rsid w:val="005C0982"/>
    <w:rsid w:val="005D5EBB"/>
    <w:rsid w:val="005E2ED5"/>
    <w:rsid w:val="005F193B"/>
    <w:rsid w:val="00602CC8"/>
    <w:rsid w:val="006225AB"/>
    <w:rsid w:val="00632392"/>
    <w:rsid w:val="0063307E"/>
    <w:rsid w:val="00644BA0"/>
    <w:rsid w:val="00647AE9"/>
    <w:rsid w:val="00654311"/>
    <w:rsid w:val="006630C0"/>
    <w:rsid w:val="0067107E"/>
    <w:rsid w:val="00674D6E"/>
    <w:rsid w:val="006A2E99"/>
    <w:rsid w:val="006B17CA"/>
    <w:rsid w:val="006B711B"/>
    <w:rsid w:val="006B74C4"/>
    <w:rsid w:val="006E255E"/>
    <w:rsid w:val="006F062B"/>
    <w:rsid w:val="006F35D7"/>
    <w:rsid w:val="00716D85"/>
    <w:rsid w:val="00726D5B"/>
    <w:rsid w:val="0074124B"/>
    <w:rsid w:val="00751DAC"/>
    <w:rsid w:val="00761C80"/>
    <w:rsid w:val="00770870"/>
    <w:rsid w:val="00781B82"/>
    <w:rsid w:val="0078380E"/>
    <w:rsid w:val="007842B7"/>
    <w:rsid w:val="00797F69"/>
    <w:rsid w:val="007B28DA"/>
    <w:rsid w:val="007C50A4"/>
    <w:rsid w:val="007D0DC9"/>
    <w:rsid w:val="007D737B"/>
    <w:rsid w:val="007E1ECC"/>
    <w:rsid w:val="007E3738"/>
    <w:rsid w:val="007E6175"/>
    <w:rsid w:val="00805996"/>
    <w:rsid w:val="0080698C"/>
    <w:rsid w:val="008250C8"/>
    <w:rsid w:val="008305EA"/>
    <w:rsid w:val="008314AF"/>
    <w:rsid w:val="008557F1"/>
    <w:rsid w:val="008809E6"/>
    <w:rsid w:val="008A0167"/>
    <w:rsid w:val="008A7535"/>
    <w:rsid w:val="008B100F"/>
    <w:rsid w:val="008C3C8F"/>
    <w:rsid w:val="008C7448"/>
    <w:rsid w:val="008D326F"/>
    <w:rsid w:val="008E03F5"/>
    <w:rsid w:val="008E07D5"/>
    <w:rsid w:val="008E6493"/>
    <w:rsid w:val="008E7B59"/>
    <w:rsid w:val="00923B3B"/>
    <w:rsid w:val="00926DCA"/>
    <w:rsid w:val="009306F1"/>
    <w:rsid w:val="0097283B"/>
    <w:rsid w:val="009869B0"/>
    <w:rsid w:val="009A2CB2"/>
    <w:rsid w:val="009C2D8F"/>
    <w:rsid w:val="009D268D"/>
    <w:rsid w:val="009D36F7"/>
    <w:rsid w:val="009E1F1D"/>
    <w:rsid w:val="00A17A64"/>
    <w:rsid w:val="00A276D0"/>
    <w:rsid w:val="00A65778"/>
    <w:rsid w:val="00A77841"/>
    <w:rsid w:val="00A938B3"/>
    <w:rsid w:val="00AA22B8"/>
    <w:rsid w:val="00AB5FE9"/>
    <w:rsid w:val="00AD0E67"/>
    <w:rsid w:val="00AD4DB3"/>
    <w:rsid w:val="00AE6006"/>
    <w:rsid w:val="00AE6EEC"/>
    <w:rsid w:val="00AE79BD"/>
    <w:rsid w:val="00AF6392"/>
    <w:rsid w:val="00AF7219"/>
    <w:rsid w:val="00B17171"/>
    <w:rsid w:val="00B315F0"/>
    <w:rsid w:val="00B43398"/>
    <w:rsid w:val="00B47260"/>
    <w:rsid w:val="00B526A4"/>
    <w:rsid w:val="00B856D8"/>
    <w:rsid w:val="00B86523"/>
    <w:rsid w:val="00B96FF4"/>
    <w:rsid w:val="00BB0B64"/>
    <w:rsid w:val="00BB1613"/>
    <w:rsid w:val="00BC33B0"/>
    <w:rsid w:val="00BD4E4E"/>
    <w:rsid w:val="00BE062B"/>
    <w:rsid w:val="00C0572B"/>
    <w:rsid w:val="00C05B1C"/>
    <w:rsid w:val="00C16464"/>
    <w:rsid w:val="00C31C1C"/>
    <w:rsid w:val="00C408B4"/>
    <w:rsid w:val="00C4520F"/>
    <w:rsid w:val="00C460C0"/>
    <w:rsid w:val="00C86D72"/>
    <w:rsid w:val="00C872C1"/>
    <w:rsid w:val="00CA17E4"/>
    <w:rsid w:val="00CA3720"/>
    <w:rsid w:val="00CA6A43"/>
    <w:rsid w:val="00CB54AA"/>
    <w:rsid w:val="00CB5E68"/>
    <w:rsid w:val="00CC2769"/>
    <w:rsid w:val="00CE0677"/>
    <w:rsid w:val="00CE09A7"/>
    <w:rsid w:val="00CF3CC3"/>
    <w:rsid w:val="00D12725"/>
    <w:rsid w:val="00D36774"/>
    <w:rsid w:val="00D7328C"/>
    <w:rsid w:val="00D879BA"/>
    <w:rsid w:val="00D92E54"/>
    <w:rsid w:val="00D95BC1"/>
    <w:rsid w:val="00D97103"/>
    <w:rsid w:val="00DA2E30"/>
    <w:rsid w:val="00DA4884"/>
    <w:rsid w:val="00DE0567"/>
    <w:rsid w:val="00E11988"/>
    <w:rsid w:val="00E15321"/>
    <w:rsid w:val="00E22695"/>
    <w:rsid w:val="00E278C2"/>
    <w:rsid w:val="00E31A99"/>
    <w:rsid w:val="00E415F0"/>
    <w:rsid w:val="00E5306D"/>
    <w:rsid w:val="00E70B78"/>
    <w:rsid w:val="00E7157D"/>
    <w:rsid w:val="00EA6313"/>
    <w:rsid w:val="00EC2405"/>
    <w:rsid w:val="00EC6586"/>
    <w:rsid w:val="00ED20B6"/>
    <w:rsid w:val="00ED341C"/>
    <w:rsid w:val="00ED5E34"/>
    <w:rsid w:val="00EF43C4"/>
    <w:rsid w:val="00F008CD"/>
    <w:rsid w:val="00F072E8"/>
    <w:rsid w:val="00F3487D"/>
    <w:rsid w:val="00F349EA"/>
    <w:rsid w:val="00F52E28"/>
    <w:rsid w:val="00F77076"/>
    <w:rsid w:val="00F908FD"/>
    <w:rsid w:val="00FA6690"/>
    <w:rsid w:val="00FA796D"/>
    <w:rsid w:val="00FB3A1D"/>
    <w:rsid w:val="00FC4BDA"/>
    <w:rsid w:val="00FF1ECB"/>
    <w:rsid w:val="00FF2EB2"/>
    <w:rsid w:val="00FF56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8658"/>
  <w15:chartTrackingRefBased/>
  <w15:docId w15:val="{BA29B5E8-56EC-4D5F-9F1D-26CD3E4E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B1086"/>
    <w:pPr>
      <w:keepNext/>
      <w:keepLines/>
      <w:numPr>
        <w:numId w:val="22"/>
      </w:numPr>
      <w:spacing w:before="240" w:after="0"/>
      <w:outlineLvl w:val="0"/>
    </w:pPr>
    <w:rPr>
      <w:rFonts w:ascii="Verdana" w:eastAsiaTheme="majorEastAsia" w:hAnsi="Verdana" w:cstheme="majorBidi"/>
      <w:b/>
      <w:sz w:val="24"/>
      <w:szCs w:val="32"/>
    </w:rPr>
  </w:style>
  <w:style w:type="paragraph" w:styleId="Otsikko2">
    <w:name w:val="heading 2"/>
    <w:basedOn w:val="Normaali"/>
    <w:next w:val="Normaali"/>
    <w:link w:val="Otsikko2Char"/>
    <w:uiPriority w:val="9"/>
    <w:unhideWhenUsed/>
    <w:qFormat/>
    <w:rsid w:val="003B10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E530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5">
    <w:name w:val="heading 5"/>
    <w:basedOn w:val="Normaali"/>
    <w:next w:val="Normaali"/>
    <w:link w:val="Otsikko5Char"/>
    <w:uiPriority w:val="9"/>
    <w:semiHidden/>
    <w:unhideWhenUsed/>
    <w:qFormat/>
    <w:rsid w:val="006F06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B1086"/>
    <w:rPr>
      <w:rFonts w:ascii="Verdana" w:eastAsiaTheme="majorEastAsia" w:hAnsi="Verdana" w:cstheme="majorBidi"/>
      <w:b/>
      <w:sz w:val="24"/>
      <w:szCs w:val="32"/>
    </w:rPr>
  </w:style>
  <w:style w:type="paragraph" w:styleId="Luettelokappale">
    <w:name w:val="List Paragraph"/>
    <w:basedOn w:val="Normaali"/>
    <w:uiPriority w:val="34"/>
    <w:qFormat/>
    <w:rsid w:val="006A2E99"/>
    <w:pPr>
      <w:ind w:left="720"/>
      <w:contextualSpacing/>
    </w:pPr>
  </w:style>
  <w:style w:type="character" w:customStyle="1" w:styleId="field-text">
    <w:name w:val="field-text"/>
    <w:basedOn w:val="Kappaleenoletusfontti"/>
    <w:rsid w:val="00923B3B"/>
  </w:style>
  <w:style w:type="table" w:styleId="TaulukkoRuudukko">
    <w:name w:val="Table Grid"/>
    <w:basedOn w:val="Normaalitaulukko"/>
    <w:uiPriority w:val="39"/>
    <w:rsid w:val="0039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3907A0"/>
    <w:rPr>
      <w:color w:val="0563C1" w:themeColor="hyperlink"/>
      <w:u w:val="single"/>
    </w:rPr>
  </w:style>
  <w:style w:type="character" w:styleId="AvattuHyperlinkki">
    <w:name w:val="FollowedHyperlink"/>
    <w:basedOn w:val="Kappaleenoletusfontti"/>
    <w:uiPriority w:val="99"/>
    <w:semiHidden/>
    <w:unhideWhenUsed/>
    <w:rsid w:val="001E6790"/>
    <w:rPr>
      <w:color w:val="954F72" w:themeColor="followedHyperlink"/>
      <w:u w:val="single"/>
    </w:rPr>
  </w:style>
  <w:style w:type="character" w:customStyle="1" w:styleId="Otsikko3Char">
    <w:name w:val="Otsikko 3 Char"/>
    <w:basedOn w:val="Kappaleenoletusfontti"/>
    <w:link w:val="Otsikko3"/>
    <w:uiPriority w:val="9"/>
    <w:semiHidden/>
    <w:rsid w:val="00E5306D"/>
    <w:rPr>
      <w:rFonts w:asciiTheme="majorHAnsi" w:eastAsiaTheme="majorEastAsia" w:hAnsiTheme="majorHAnsi" w:cstheme="majorBidi"/>
      <w:color w:val="1F4D78" w:themeColor="accent1" w:themeShade="7F"/>
      <w:sz w:val="24"/>
      <w:szCs w:val="24"/>
    </w:rPr>
  </w:style>
  <w:style w:type="paragraph" w:styleId="Yltunniste">
    <w:name w:val="header"/>
    <w:basedOn w:val="Normaali"/>
    <w:link w:val="YltunnisteChar"/>
    <w:uiPriority w:val="99"/>
    <w:unhideWhenUsed/>
    <w:rsid w:val="00491BE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91BE6"/>
  </w:style>
  <w:style w:type="paragraph" w:styleId="Alatunniste">
    <w:name w:val="footer"/>
    <w:basedOn w:val="Normaali"/>
    <w:link w:val="AlatunnisteChar"/>
    <w:uiPriority w:val="99"/>
    <w:unhideWhenUsed/>
    <w:rsid w:val="00491BE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91BE6"/>
  </w:style>
  <w:style w:type="character" w:customStyle="1" w:styleId="Ratkaisematonmaininta1">
    <w:name w:val="Ratkaisematon maininta1"/>
    <w:basedOn w:val="Kappaleenoletusfontti"/>
    <w:uiPriority w:val="99"/>
    <w:semiHidden/>
    <w:unhideWhenUsed/>
    <w:rsid w:val="006B17CA"/>
    <w:rPr>
      <w:color w:val="808080"/>
      <w:shd w:val="clear" w:color="auto" w:fill="E6E6E6"/>
    </w:rPr>
  </w:style>
  <w:style w:type="character" w:styleId="Kommentinviite">
    <w:name w:val="annotation reference"/>
    <w:basedOn w:val="Kappaleenoletusfontti"/>
    <w:uiPriority w:val="99"/>
    <w:semiHidden/>
    <w:unhideWhenUsed/>
    <w:rsid w:val="003B0E65"/>
    <w:rPr>
      <w:sz w:val="16"/>
      <w:szCs w:val="16"/>
    </w:rPr>
  </w:style>
  <w:style w:type="paragraph" w:styleId="Kommentinteksti">
    <w:name w:val="annotation text"/>
    <w:basedOn w:val="Normaali"/>
    <w:link w:val="KommentintekstiChar"/>
    <w:uiPriority w:val="99"/>
    <w:semiHidden/>
    <w:unhideWhenUsed/>
    <w:rsid w:val="003B0E6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B0E65"/>
    <w:rPr>
      <w:sz w:val="20"/>
      <w:szCs w:val="20"/>
    </w:rPr>
  </w:style>
  <w:style w:type="paragraph" w:styleId="Kommentinotsikko">
    <w:name w:val="annotation subject"/>
    <w:basedOn w:val="Kommentinteksti"/>
    <w:next w:val="Kommentinteksti"/>
    <w:link w:val="KommentinotsikkoChar"/>
    <w:uiPriority w:val="99"/>
    <w:semiHidden/>
    <w:unhideWhenUsed/>
    <w:rsid w:val="003B0E65"/>
    <w:rPr>
      <w:b/>
      <w:bCs/>
    </w:rPr>
  </w:style>
  <w:style w:type="character" w:customStyle="1" w:styleId="KommentinotsikkoChar">
    <w:name w:val="Kommentin otsikko Char"/>
    <w:basedOn w:val="KommentintekstiChar"/>
    <w:link w:val="Kommentinotsikko"/>
    <w:uiPriority w:val="99"/>
    <w:semiHidden/>
    <w:rsid w:val="003B0E65"/>
    <w:rPr>
      <w:b/>
      <w:bCs/>
      <w:sz w:val="20"/>
      <w:szCs w:val="20"/>
    </w:rPr>
  </w:style>
  <w:style w:type="paragraph" w:styleId="Seliteteksti">
    <w:name w:val="Balloon Text"/>
    <w:basedOn w:val="Normaali"/>
    <w:link w:val="SelitetekstiChar"/>
    <w:uiPriority w:val="99"/>
    <w:semiHidden/>
    <w:unhideWhenUsed/>
    <w:rsid w:val="003B0E6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B0E65"/>
    <w:rPr>
      <w:rFonts w:ascii="Segoe UI" w:hAnsi="Segoe UI" w:cs="Segoe UI"/>
      <w:sz w:val="18"/>
      <w:szCs w:val="18"/>
    </w:rPr>
  </w:style>
  <w:style w:type="character" w:customStyle="1" w:styleId="Otsikko2Char">
    <w:name w:val="Otsikko 2 Char"/>
    <w:basedOn w:val="Kappaleenoletusfontti"/>
    <w:link w:val="Otsikko2"/>
    <w:uiPriority w:val="9"/>
    <w:rsid w:val="003B1086"/>
    <w:rPr>
      <w:rFonts w:asciiTheme="majorHAnsi" w:eastAsiaTheme="majorEastAsia" w:hAnsiTheme="majorHAnsi" w:cstheme="majorBidi"/>
      <w:color w:val="2E74B5" w:themeColor="accent1" w:themeShade="BF"/>
      <w:sz w:val="26"/>
      <w:szCs w:val="26"/>
    </w:rPr>
  </w:style>
  <w:style w:type="paragraph" w:styleId="Eivli">
    <w:name w:val="No Spacing"/>
    <w:uiPriority w:val="1"/>
    <w:qFormat/>
    <w:rsid w:val="003B1086"/>
    <w:pPr>
      <w:spacing w:after="0" w:line="240" w:lineRule="auto"/>
    </w:pPr>
  </w:style>
  <w:style w:type="paragraph" w:styleId="Alaviitteenteksti">
    <w:name w:val="footnote text"/>
    <w:basedOn w:val="Normaali"/>
    <w:link w:val="AlaviitteentekstiChar"/>
    <w:uiPriority w:val="99"/>
    <w:semiHidden/>
    <w:unhideWhenUsed/>
    <w:rsid w:val="00C31C1C"/>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C31C1C"/>
    <w:rPr>
      <w:sz w:val="20"/>
      <w:szCs w:val="20"/>
    </w:rPr>
  </w:style>
  <w:style w:type="character" w:styleId="Alaviitteenviite">
    <w:name w:val="footnote reference"/>
    <w:basedOn w:val="Kappaleenoletusfontti"/>
    <w:uiPriority w:val="99"/>
    <w:semiHidden/>
    <w:unhideWhenUsed/>
    <w:rsid w:val="00C31C1C"/>
    <w:rPr>
      <w:vertAlign w:val="superscript"/>
    </w:rPr>
  </w:style>
  <w:style w:type="character" w:customStyle="1" w:styleId="Otsikko5Char">
    <w:name w:val="Otsikko 5 Char"/>
    <w:basedOn w:val="Kappaleenoletusfontti"/>
    <w:link w:val="Otsikko5"/>
    <w:uiPriority w:val="9"/>
    <w:semiHidden/>
    <w:rsid w:val="006F062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765">
      <w:bodyDiv w:val="1"/>
      <w:marLeft w:val="0"/>
      <w:marRight w:val="0"/>
      <w:marTop w:val="0"/>
      <w:marBottom w:val="0"/>
      <w:divBdr>
        <w:top w:val="none" w:sz="0" w:space="0" w:color="auto"/>
        <w:left w:val="none" w:sz="0" w:space="0" w:color="auto"/>
        <w:bottom w:val="none" w:sz="0" w:space="0" w:color="auto"/>
        <w:right w:val="none" w:sz="0" w:space="0" w:color="auto"/>
      </w:divBdr>
    </w:div>
    <w:div w:id="295334817">
      <w:bodyDiv w:val="1"/>
      <w:marLeft w:val="0"/>
      <w:marRight w:val="0"/>
      <w:marTop w:val="0"/>
      <w:marBottom w:val="0"/>
      <w:divBdr>
        <w:top w:val="none" w:sz="0" w:space="0" w:color="auto"/>
        <w:left w:val="none" w:sz="0" w:space="0" w:color="auto"/>
        <w:bottom w:val="none" w:sz="0" w:space="0" w:color="auto"/>
        <w:right w:val="none" w:sz="0" w:space="0" w:color="auto"/>
      </w:divBdr>
    </w:div>
    <w:div w:id="378629279">
      <w:bodyDiv w:val="1"/>
      <w:marLeft w:val="0"/>
      <w:marRight w:val="0"/>
      <w:marTop w:val="0"/>
      <w:marBottom w:val="0"/>
      <w:divBdr>
        <w:top w:val="none" w:sz="0" w:space="0" w:color="auto"/>
        <w:left w:val="none" w:sz="0" w:space="0" w:color="auto"/>
        <w:bottom w:val="none" w:sz="0" w:space="0" w:color="auto"/>
        <w:right w:val="none" w:sz="0" w:space="0" w:color="auto"/>
      </w:divBdr>
      <w:divsChild>
        <w:div w:id="1865173778">
          <w:marLeft w:val="547"/>
          <w:marRight w:val="0"/>
          <w:marTop w:val="0"/>
          <w:marBottom w:val="0"/>
          <w:divBdr>
            <w:top w:val="none" w:sz="0" w:space="0" w:color="auto"/>
            <w:left w:val="none" w:sz="0" w:space="0" w:color="auto"/>
            <w:bottom w:val="none" w:sz="0" w:space="0" w:color="auto"/>
            <w:right w:val="none" w:sz="0" w:space="0" w:color="auto"/>
          </w:divBdr>
        </w:div>
      </w:divsChild>
    </w:div>
    <w:div w:id="389693260">
      <w:bodyDiv w:val="1"/>
      <w:marLeft w:val="0"/>
      <w:marRight w:val="0"/>
      <w:marTop w:val="0"/>
      <w:marBottom w:val="0"/>
      <w:divBdr>
        <w:top w:val="none" w:sz="0" w:space="0" w:color="auto"/>
        <w:left w:val="none" w:sz="0" w:space="0" w:color="auto"/>
        <w:bottom w:val="none" w:sz="0" w:space="0" w:color="auto"/>
        <w:right w:val="none" w:sz="0" w:space="0" w:color="auto"/>
      </w:divBdr>
    </w:div>
    <w:div w:id="405684746">
      <w:bodyDiv w:val="1"/>
      <w:marLeft w:val="0"/>
      <w:marRight w:val="0"/>
      <w:marTop w:val="0"/>
      <w:marBottom w:val="0"/>
      <w:divBdr>
        <w:top w:val="none" w:sz="0" w:space="0" w:color="auto"/>
        <w:left w:val="none" w:sz="0" w:space="0" w:color="auto"/>
        <w:bottom w:val="none" w:sz="0" w:space="0" w:color="auto"/>
        <w:right w:val="none" w:sz="0" w:space="0" w:color="auto"/>
      </w:divBdr>
    </w:div>
    <w:div w:id="407922805">
      <w:bodyDiv w:val="1"/>
      <w:marLeft w:val="0"/>
      <w:marRight w:val="0"/>
      <w:marTop w:val="0"/>
      <w:marBottom w:val="0"/>
      <w:divBdr>
        <w:top w:val="none" w:sz="0" w:space="0" w:color="auto"/>
        <w:left w:val="none" w:sz="0" w:space="0" w:color="auto"/>
        <w:bottom w:val="none" w:sz="0" w:space="0" w:color="auto"/>
        <w:right w:val="none" w:sz="0" w:space="0" w:color="auto"/>
      </w:divBdr>
    </w:div>
    <w:div w:id="617414833">
      <w:bodyDiv w:val="1"/>
      <w:marLeft w:val="0"/>
      <w:marRight w:val="0"/>
      <w:marTop w:val="0"/>
      <w:marBottom w:val="0"/>
      <w:divBdr>
        <w:top w:val="none" w:sz="0" w:space="0" w:color="auto"/>
        <w:left w:val="none" w:sz="0" w:space="0" w:color="auto"/>
        <w:bottom w:val="none" w:sz="0" w:space="0" w:color="auto"/>
        <w:right w:val="none" w:sz="0" w:space="0" w:color="auto"/>
      </w:divBdr>
    </w:div>
    <w:div w:id="620265122">
      <w:bodyDiv w:val="1"/>
      <w:marLeft w:val="0"/>
      <w:marRight w:val="0"/>
      <w:marTop w:val="0"/>
      <w:marBottom w:val="0"/>
      <w:divBdr>
        <w:top w:val="none" w:sz="0" w:space="0" w:color="auto"/>
        <w:left w:val="none" w:sz="0" w:space="0" w:color="auto"/>
        <w:bottom w:val="none" w:sz="0" w:space="0" w:color="auto"/>
        <w:right w:val="none" w:sz="0" w:space="0" w:color="auto"/>
      </w:divBdr>
    </w:div>
    <w:div w:id="686907889">
      <w:bodyDiv w:val="1"/>
      <w:marLeft w:val="0"/>
      <w:marRight w:val="0"/>
      <w:marTop w:val="0"/>
      <w:marBottom w:val="0"/>
      <w:divBdr>
        <w:top w:val="none" w:sz="0" w:space="0" w:color="auto"/>
        <w:left w:val="none" w:sz="0" w:space="0" w:color="auto"/>
        <w:bottom w:val="none" w:sz="0" w:space="0" w:color="auto"/>
        <w:right w:val="none" w:sz="0" w:space="0" w:color="auto"/>
      </w:divBdr>
    </w:div>
    <w:div w:id="739912462">
      <w:bodyDiv w:val="1"/>
      <w:marLeft w:val="0"/>
      <w:marRight w:val="0"/>
      <w:marTop w:val="0"/>
      <w:marBottom w:val="0"/>
      <w:divBdr>
        <w:top w:val="none" w:sz="0" w:space="0" w:color="auto"/>
        <w:left w:val="none" w:sz="0" w:space="0" w:color="auto"/>
        <w:bottom w:val="none" w:sz="0" w:space="0" w:color="auto"/>
        <w:right w:val="none" w:sz="0" w:space="0" w:color="auto"/>
      </w:divBdr>
    </w:div>
    <w:div w:id="833649305">
      <w:bodyDiv w:val="1"/>
      <w:marLeft w:val="0"/>
      <w:marRight w:val="0"/>
      <w:marTop w:val="0"/>
      <w:marBottom w:val="0"/>
      <w:divBdr>
        <w:top w:val="none" w:sz="0" w:space="0" w:color="auto"/>
        <w:left w:val="none" w:sz="0" w:space="0" w:color="auto"/>
        <w:bottom w:val="none" w:sz="0" w:space="0" w:color="auto"/>
        <w:right w:val="none" w:sz="0" w:space="0" w:color="auto"/>
      </w:divBdr>
      <w:divsChild>
        <w:div w:id="407194010">
          <w:marLeft w:val="547"/>
          <w:marRight w:val="0"/>
          <w:marTop w:val="0"/>
          <w:marBottom w:val="0"/>
          <w:divBdr>
            <w:top w:val="none" w:sz="0" w:space="0" w:color="auto"/>
            <w:left w:val="none" w:sz="0" w:space="0" w:color="auto"/>
            <w:bottom w:val="none" w:sz="0" w:space="0" w:color="auto"/>
            <w:right w:val="none" w:sz="0" w:space="0" w:color="auto"/>
          </w:divBdr>
        </w:div>
      </w:divsChild>
    </w:div>
    <w:div w:id="913048286">
      <w:bodyDiv w:val="1"/>
      <w:marLeft w:val="0"/>
      <w:marRight w:val="0"/>
      <w:marTop w:val="0"/>
      <w:marBottom w:val="0"/>
      <w:divBdr>
        <w:top w:val="none" w:sz="0" w:space="0" w:color="auto"/>
        <w:left w:val="none" w:sz="0" w:space="0" w:color="auto"/>
        <w:bottom w:val="none" w:sz="0" w:space="0" w:color="auto"/>
        <w:right w:val="none" w:sz="0" w:space="0" w:color="auto"/>
      </w:divBdr>
    </w:div>
    <w:div w:id="990717887">
      <w:bodyDiv w:val="1"/>
      <w:marLeft w:val="0"/>
      <w:marRight w:val="0"/>
      <w:marTop w:val="0"/>
      <w:marBottom w:val="0"/>
      <w:divBdr>
        <w:top w:val="none" w:sz="0" w:space="0" w:color="auto"/>
        <w:left w:val="none" w:sz="0" w:space="0" w:color="auto"/>
        <w:bottom w:val="none" w:sz="0" w:space="0" w:color="auto"/>
        <w:right w:val="none" w:sz="0" w:space="0" w:color="auto"/>
      </w:divBdr>
    </w:div>
    <w:div w:id="1046225625">
      <w:bodyDiv w:val="1"/>
      <w:marLeft w:val="0"/>
      <w:marRight w:val="0"/>
      <w:marTop w:val="0"/>
      <w:marBottom w:val="0"/>
      <w:divBdr>
        <w:top w:val="none" w:sz="0" w:space="0" w:color="auto"/>
        <w:left w:val="none" w:sz="0" w:space="0" w:color="auto"/>
        <w:bottom w:val="none" w:sz="0" w:space="0" w:color="auto"/>
        <w:right w:val="none" w:sz="0" w:space="0" w:color="auto"/>
      </w:divBdr>
    </w:div>
    <w:div w:id="1057972225">
      <w:bodyDiv w:val="1"/>
      <w:marLeft w:val="0"/>
      <w:marRight w:val="0"/>
      <w:marTop w:val="0"/>
      <w:marBottom w:val="0"/>
      <w:divBdr>
        <w:top w:val="none" w:sz="0" w:space="0" w:color="auto"/>
        <w:left w:val="none" w:sz="0" w:space="0" w:color="auto"/>
        <w:bottom w:val="none" w:sz="0" w:space="0" w:color="auto"/>
        <w:right w:val="none" w:sz="0" w:space="0" w:color="auto"/>
      </w:divBdr>
    </w:div>
    <w:div w:id="1100250464">
      <w:bodyDiv w:val="1"/>
      <w:marLeft w:val="0"/>
      <w:marRight w:val="0"/>
      <w:marTop w:val="0"/>
      <w:marBottom w:val="0"/>
      <w:divBdr>
        <w:top w:val="none" w:sz="0" w:space="0" w:color="auto"/>
        <w:left w:val="none" w:sz="0" w:space="0" w:color="auto"/>
        <w:bottom w:val="none" w:sz="0" w:space="0" w:color="auto"/>
        <w:right w:val="none" w:sz="0" w:space="0" w:color="auto"/>
      </w:divBdr>
    </w:div>
    <w:div w:id="1169521201">
      <w:bodyDiv w:val="1"/>
      <w:marLeft w:val="0"/>
      <w:marRight w:val="0"/>
      <w:marTop w:val="0"/>
      <w:marBottom w:val="0"/>
      <w:divBdr>
        <w:top w:val="none" w:sz="0" w:space="0" w:color="auto"/>
        <w:left w:val="none" w:sz="0" w:space="0" w:color="auto"/>
        <w:bottom w:val="none" w:sz="0" w:space="0" w:color="auto"/>
        <w:right w:val="none" w:sz="0" w:space="0" w:color="auto"/>
      </w:divBdr>
    </w:div>
    <w:div w:id="1218777931">
      <w:bodyDiv w:val="1"/>
      <w:marLeft w:val="0"/>
      <w:marRight w:val="0"/>
      <w:marTop w:val="0"/>
      <w:marBottom w:val="0"/>
      <w:divBdr>
        <w:top w:val="none" w:sz="0" w:space="0" w:color="auto"/>
        <w:left w:val="none" w:sz="0" w:space="0" w:color="auto"/>
        <w:bottom w:val="none" w:sz="0" w:space="0" w:color="auto"/>
        <w:right w:val="none" w:sz="0" w:space="0" w:color="auto"/>
      </w:divBdr>
    </w:div>
    <w:div w:id="1302148060">
      <w:bodyDiv w:val="1"/>
      <w:marLeft w:val="0"/>
      <w:marRight w:val="0"/>
      <w:marTop w:val="0"/>
      <w:marBottom w:val="0"/>
      <w:divBdr>
        <w:top w:val="none" w:sz="0" w:space="0" w:color="auto"/>
        <w:left w:val="none" w:sz="0" w:space="0" w:color="auto"/>
        <w:bottom w:val="none" w:sz="0" w:space="0" w:color="auto"/>
        <w:right w:val="none" w:sz="0" w:space="0" w:color="auto"/>
      </w:divBdr>
    </w:div>
    <w:div w:id="1323923249">
      <w:bodyDiv w:val="1"/>
      <w:marLeft w:val="0"/>
      <w:marRight w:val="0"/>
      <w:marTop w:val="0"/>
      <w:marBottom w:val="0"/>
      <w:divBdr>
        <w:top w:val="none" w:sz="0" w:space="0" w:color="auto"/>
        <w:left w:val="none" w:sz="0" w:space="0" w:color="auto"/>
        <w:bottom w:val="none" w:sz="0" w:space="0" w:color="auto"/>
        <w:right w:val="none" w:sz="0" w:space="0" w:color="auto"/>
      </w:divBdr>
    </w:div>
    <w:div w:id="1326855331">
      <w:bodyDiv w:val="1"/>
      <w:marLeft w:val="0"/>
      <w:marRight w:val="0"/>
      <w:marTop w:val="0"/>
      <w:marBottom w:val="0"/>
      <w:divBdr>
        <w:top w:val="none" w:sz="0" w:space="0" w:color="auto"/>
        <w:left w:val="none" w:sz="0" w:space="0" w:color="auto"/>
        <w:bottom w:val="none" w:sz="0" w:space="0" w:color="auto"/>
        <w:right w:val="none" w:sz="0" w:space="0" w:color="auto"/>
      </w:divBdr>
    </w:div>
    <w:div w:id="136872604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14">
          <w:marLeft w:val="0"/>
          <w:marRight w:val="0"/>
          <w:marTop w:val="0"/>
          <w:marBottom w:val="0"/>
          <w:divBdr>
            <w:top w:val="none" w:sz="0" w:space="0" w:color="auto"/>
            <w:left w:val="none" w:sz="0" w:space="0" w:color="auto"/>
            <w:bottom w:val="none" w:sz="0" w:space="0" w:color="auto"/>
            <w:right w:val="none" w:sz="0" w:space="0" w:color="auto"/>
          </w:divBdr>
        </w:div>
        <w:div w:id="615020539">
          <w:marLeft w:val="0"/>
          <w:marRight w:val="0"/>
          <w:marTop w:val="0"/>
          <w:marBottom w:val="0"/>
          <w:divBdr>
            <w:top w:val="none" w:sz="0" w:space="0" w:color="auto"/>
            <w:left w:val="none" w:sz="0" w:space="0" w:color="auto"/>
            <w:bottom w:val="none" w:sz="0" w:space="0" w:color="auto"/>
            <w:right w:val="none" w:sz="0" w:space="0" w:color="auto"/>
          </w:divBdr>
        </w:div>
        <w:div w:id="2003728385">
          <w:marLeft w:val="0"/>
          <w:marRight w:val="0"/>
          <w:marTop w:val="0"/>
          <w:marBottom w:val="0"/>
          <w:divBdr>
            <w:top w:val="none" w:sz="0" w:space="0" w:color="auto"/>
            <w:left w:val="none" w:sz="0" w:space="0" w:color="auto"/>
            <w:bottom w:val="none" w:sz="0" w:space="0" w:color="auto"/>
            <w:right w:val="none" w:sz="0" w:space="0" w:color="auto"/>
          </w:divBdr>
        </w:div>
        <w:div w:id="2101676518">
          <w:marLeft w:val="0"/>
          <w:marRight w:val="0"/>
          <w:marTop w:val="0"/>
          <w:marBottom w:val="0"/>
          <w:divBdr>
            <w:top w:val="none" w:sz="0" w:space="0" w:color="auto"/>
            <w:left w:val="none" w:sz="0" w:space="0" w:color="auto"/>
            <w:bottom w:val="none" w:sz="0" w:space="0" w:color="auto"/>
            <w:right w:val="none" w:sz="0" w:space="0" w:color="auto"/>
          </w:divBdr>
        </w:div>
        <w:div w:id="1049770614">
          <w:marLeft w:val="0"/>
          <w:marRight w:val="0"/>
          <w:marTop w:val="0"/>
          <w:marBottom w:val="0"/>
          <w:divBdr>
            <w:top w:val="none" w:sz="0" w:space="0" w:color="auto"/>
            <w:left w:val="none" w:sz="0" w:space="0" w:color="auto"/>
            <w:bottom w:val="none" w:sz="0" w:space="0" w:color="auto"/>
            <w:right w:val="none" w:sz="0" w:space="0" w:color="auto"/>
          </w:divBdr>
        </w:div>
      </w:divsChild>
    </w:div>
    <w:div w:id="1444959589">
      <w:bodyDiv w:val="1"/>
      <w:marLeft w:val="0"/>
      <w:marRight w:val="0"/>
      <w:marTop w:val="0"/>
      <w:marBottom w:val="0"/>
      <w:divBdr>
        <w:top w:val="none" w:sz="0" w:space="0" w:color="auto"/>
        <w:left w:val="none" w:sz="0" w:space="0" w:color="auto"/>
        <w:bottom w:val="none" w:sz="0" w:space="0" w:color="auto"/>
        <w:right w:val="none" w:sz="0" w:space="0" w:color="auto"/>
      </w:divBdr>
    </w:div>
    <w:div w:id="1510870471">
      <w:bodyDiv w:val="1"/>
      <w:marLeft w:val="0"/>
      <w:marRight w:val="0"/>
      <w:marTop w:val="0"/>
      <w:marBottom w:val="0"/>
      <w:divBdr>
        <w:top w:val="none" w:sz="0" w:space="0" w:color="auto"/>
        <w:left w:val="none" w:sz="0" w:space="0" w:color="auto"/>
        <w:bottom w:val="none" w:sz="0" w:space="0" w:color="auto"/>
        <w:right w:val="none" w:sz="0" w:space="0" w:color="auto"/>
      </w:divBdr>
    </w:div>
    <w:div w:id="1541015375">
      <w:bodyDiv w:val="1"/>
      <w:marLeft w:val="0"/>
      <w:marRight w:val="0"/>
      <w:marTop w:val="0"/>
      <w:marBottom w:val="0"/>
      <w:divBdr>
        <w:top w:val="none" w:sz="0" w:space="0" w:color="auto"/>
        <w:left w:val="none" w:sz="0" w:space="0" w:color="auto"/>
        <w:bottom w:val="none" w:sz="0" w:space="0" w:color="auto"/>
        <w:right w:val="none" w:sz="0" w:space="0" w:color="auto"/>
      </w:divBdr>
    </w:div>
    <w:div w:id="1716154246">
      <w:bodyDiv w:val="1"/>
      <w:marLeft w:val="0"/>
      <w:marRight w:val="0"/>
      <w:marTop w:val="0"/>
      <w:marBottom w:val="0"/>
      <w:divBdr>
        <w:top w:val="none" w:sz="0" w:space="0" w:color="auto"/>
        <w:left w:val="none" w:sz="0" w:space="0" w:color="auto"/>
        <w:bottom w:val="none" w:sz="0" w:space="0" w:color="auto"/>
        <w:right w:val="none" w:sz="0" w:space="0" w:color="auto"/>
      </w:divBdr>
    </w:div>
    <w:div w:id="1736273892">
      <w:bodyDiv w:val="1"/>
      <w:marLeft w:val="0"/>
      <w:marRight w:val="0"/>
      <w:marTop w:val="0"/>
      <w:marBottom w:val="0"/>
      <w:divBdr>
        <w:top w:val="none" w:sz="0" w:space="0" w:color="auto"/>
        <w:left w:val="none" w:sz="0" w:space="0" w:color="auto"/>
        <w:bottom w:val="none" w:sz="0" w:space="0" w:color="auto"/>
        <w:right w:val="none" w:sz="0" w:space="0" w:color="auto"/>
      </w:divBdr>
    </w:div>
    <w:div w:id="1768848357">
      <w:bodyDiv w:val="1"/>
      <w:marLeft w:val="0"/>
      <w:marRight w:val="0"/>
      <w:marTop w:val="0"/>
      <w:marBottom w:val="0"/>
      <w:divBdr>
        <w:top w:val="none" w:sz="0" w:space="0" w:color="auto"/>
        <w:left w:val="none" w:sz="0" w:space="0" w:color="auto"/>
        <w:bottom w:val="none" w:sz="0" w:space="0" w:color="auto"/>
        <w:right w:val="none" w:sz="0" w:space="0" w:color="auto"/>
      </w:divBdr>
    </w:div>
    <w:div w:id="1776248779">
      <w:bodyDiv w:val="1"/>
      <w:marLeft w:val="0"/>
      <w:marRight w:val="0"/>
      <w:marTop w:val="0"/>
      <w:marBottom w:val="0"/>
      <w:divBdr>
        <w:top w:val="none" w:sz="0" w:space="0" w:color="auto"/>
        <w:left w:val="none" w:sz="0" w:space="0" w:color="auto"/>
        <w:bottom w:val="none" w:sz="0" w:space="0" w:color="auto"/>
        <w:right w:val="none" w:sz="0" w:space="0" w:color="auto"/>
      </w:divBdr>
    </w:div>
    <w:div w:id="1860309936">
      <w:bodyDiv w:val="1"/>
      <w:marLeft w:val="0"/>
      <w:marRight w:val="0"/>
      <w:marTop w:val="0"/>
      <w:marBottom w:val="0"/>
      <w:divBdr>
        <w:top w:val="none" w:sz="0" w:space="0" w:color="auto"/>
        <w:left w:val="none" w:sz="0" w:space="0" w:color="auto"/>
        <w:bottom w:val="none" w:sz="0" w:space="0" w:color="auto"/>
        <w:right w:val="none" w:sz="0" w:space="0" w:color="auto"/>
      </w:divBdr>
    </w:div>
    <w:div w:id="1896042466">
      <w:bodyDiv w:val="1"/>
      <w:marLeft w:val="0"/>
      <w:marRight w:val="0"/>
      <w:marTop w:val="0"/>
      <w:marBottom w:val="0"/>
      <w:divBdr>
        <w:top w:val="none" w:sz="0" w:space="0" w:color="auto"/>
        <w:left w:val="none" w:sz="0" w:space="0" w:color="auto"/>
        <w:bottom w:val="none" w:sz="0" w:space="0" w:color="auto"/>
        <w:right w:val="none" w:sz="0" w:space="0" w:color="auto"/>
      </w:divBdr>
    </w:div>
    <w:div w:id="1931308485">
      <w:bodyDiv w:val="1"/>
      <w:marLeft w:val="0"/>
      <w:marRight w:val="0"/>
      <w:marTop w:val="0"/>
      <w:marBottom w:val="0"/>
      <w:divBdr>
        <w:top w:val="none" w:sz="0" w:space="0" w:color="auto"/>
        <w:left w:val="none" w:sz="0" w:space="0" w:color="auto"/>
        <w:bottom w:val="none" w:sz="0" w:space="0" w:color="auto"/>
        <w:right w:val="none" w:sz="0" w:space="0" w:color="auto"/>
      </w:divBdr>
    </w:div>
    <w:div w:id="1965690351">
      <w:bodyDiv w:val="1"/>
      <w:marLeft w:val="0"/>
      <w:marRight w:val="0"/>
      <w:marTop w:val="0"/>
      <w:marBottom w:val="0"/>
      <w:divBdr>
        <w:top w:val="none" w:sz="0" w:space="0" w:color="auto"/>
        <w:left w:val="none" w:sz="0" w:space="0" w:color="auto"/>
        <w:bottom w:val="none" w:sz="0" w:space="0" w:color="auto"/>
        <w:right w:val="none" w:sz="0" w:space="0" w:color="auto"/>
      </w:divBdr>
    </w:div>
    <w:div w:id="2044821079">
      <w:bodyDiv w:val="1"/>
      <w:marLeft w:val="0"/>
      <w:marRight w:val="0"/>
      <w:marTop w:val="0"/>
      <w:marBottom w:val="0"/>
      <w:divBdr>
        <w:top w:val="none" w:sz="0" w:space="0" w:color="auto"/>
        <w:left w:val="none" w:sz="0" w:space="0" w:color="auto"/>
        <w:bottom w:val="none" w:sz="0" w:space="0" w:color="auto"/>
        <w:right w:val="none" w:sz="0" w:space="0" w:color="auto"/>
      </w:divBdr>
    </w:div>
    <w:div w:id="21458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kkinaoikeus.fi/fi/index/paatokset/hankintaasiat/hankintaasiat/1514535451241.html" TargetMode="External"/><Relationship Id="rId18" Type="http://schemas.openxmlformats.org/officeDocument/2006/relationships/hyperlink" Target="https://www.edilex.fi/mao/20150464" TargetMode="External"/><Relationship Id="rId26" Type="http://schemas.openxmlformats.org/officeDocument/2006/relationships/hyperlink" Target="https://www.finlex.fi/fi/oikeus/mao/2009/20090207?search%5Btype%5D=pika&amp;search%5Bpika%5D=MAO%20207%2F09" TargetMode="External"/><Relationship Id="rId39" Type="http://schemas.openxmlformats.org/officeDocument/2006/relationships/header" Target="header1.xml"/><Relationship Id="rId21" Type="http://schemas.openxmlformats.org/officeDocument/2006/relationships/hyperlink" Target="https://www.edilex.fi/mao/20130309" TargetMode="External"/><Relationship Id="rId34" Type="http://schemas.openxmlformats.org/officeDocument/2006/relationships/diagramData" Target="diagrams/data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inlex.fi/fi/oikeus/mao/2016/20160629?search%5Btype%5D=pika&amp;search%5Bpika%5D=MAO%3A629%2F16" TargetMode="External"/><Relationship Id="rId20" Type="http://schemas.openxmlformats.org/officeDocument/2006/relationships/hyperlink" Target="https://www.finlex.fi/fi/oikeus/mao/2014/20140189?search%5Btype%5D=pika&amp;search%5Bpika%5D=MAO%3A189%2F14" TargetMode="External"/><Relationship Id="rId29" Type="http://schemas.openxmlformats.org/officeDocument/2006/relationships/diagramLayout" Target="diagrams/layout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ilex.fi/mao/20160075" TargetMode="External"/><Relationship Id="rId24" Type="http://schemas.openxmlformats.org/officeDocument/2006/relationships/hyperlink" Target="https://www.finlex.fi/fi/oikeus/mao/2010/20100575?search%5Btype%5D=pika&amp;search%5Bpika%5D=MAO%3A575%2F10" TargetMode="External"/><Relationship Id="rId32" Type="http://schemas.microsoft.com/office/2007/relationships/diagramDrawing" Target="diagrams/drawing1.xml"/><Relationship Id="rId37" Type="http://schemas.openxmlformats.org/officeDocument/2006/relationships/diagramColors" Target="diagrams/colors2.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rkkinaoikeus.fi/fi/index/paatokset/hankintaasiat/hankintaasiat/1479382360007.html" TargetMode="External"/><Relationship Id="rId23" Type="http://schemas.openxmlformats.org/officeDocument/2006/relationships/hyperlink" Target="https://www.edilex.fi/mao/20110243" TargetMode="External"/><Relationship Id="rId28" Type="http://schemas.openxmlformats.org/officeDocument/2006/relationships/diagramData" Target="diagrams/data1.xml"/><Relationship Id="rId36"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hyperlink" Target="https://www.finlex.fi/fi/oikeus/mao/2015/20150194?search%5Btype%5D=pika&amp;search%5Bpika%5D=MAO%3A194%2F15"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lex.fi/fi/oikeus/mao/2017/20170479?search%5Btype%5D=pika&amp;search%5Bpika%5D=MAO%3A479%2F17" TargetMode="External"/><Relationship Id="rId22" Type="http://schemas.openxmlformats.org/officeDocument/2006/relationships/hyperlink" Target="https://www.finlex.fi/fi/oikeus/mao/2011/20110519?search%5Btype%5D=pika&amp;search%5Bpika%5D=MAO%3A519-520%2F11" TargetMode="External"/><Relationship Id="rId27" Type="http://schemas.openxmlformats.org/officeDocument/2006/relationships/hyperlink" Target="http://www.markkinaoikeus.fi/fi/index/paatokset/hankintaasiat/hankintaasiat/1479382360007.html" TargetMode="External"/><Relationship Id="rId30" Type="http://schemas.openxmlformats.org/officeDocument/2006/relationships/diagramQuickStyle" Target="diagrams/quickStyle1.xml"/><Relationship Id="rId35" Type="http://schemas.openxmlformats.org/officeDocument/2006/relationships/diagramLayout" Target="diagrams/layout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inlex.fi/fi/oikeus/kho/vuosikirjat/2010/201000719" TargetMode="External"/><Relationship Id="rId17" Type="http://schemas.openxmlformats.org/officeDocument/2006/relationships/hyperlink" Target="https://www.finlex.fi/fi/oikeus/mao/2015/20150691?search%5Btype%5D=pika&amp;search%5Bpika%5D=MAO%3A691%2F15" TargetMode="External"/><Relationship Id="rId25" Type="http://schemas.openxmlformats.org/officeDocument/2006/relationships/hyperlink" Target="https://www.finlex.fi/fi/oikeus/mao/2010/20100551?search%5Btype%5D=pika&amp;search%5Bpika%5D=MAO%3A551%2F10" TargetMode="External"/><Relationship Id="rId33" Type="http://schemas.openxmlformats.org/officeDocument/2006/relationships/hyperlink" Target="https://www.edilex.fi/mao/20160075" TargetMode="External"/><Relationship Id="rId38"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573E2-02EF-43E2-A843-A9563C1B4AAC}" type="doc">
      <dgm:prSet loTypeId="urn:microsoft.com/office/officeart/2005/8/layout/bProcess3" loCatId="process" qsTypeId="urn:microsoft.com/office/officeart/2005/8/quickstyle/simple1" qsCatId="simple" csTypeId="urn:microsoft.com/office/officeart/2005/8/colors/accent0_2" csCatId="mainScheme" phldr="1"/>
      <dgm:spPr/>
      <dgm:t>
        <a:bodyPr/>
        <a:lstStyle/>
        <a:p>
          <a:endParaRPr lang="fi-FI"/>
        </a:p>
      </dgm:t>
    </dgm:pt>
    <dgm:pt modelId="{C9D641C7-25EC-4535-B982-5DA860973ADE}">
      <dgm:prSet phldrT="[Teksti]"/>
      <dgm:spPr>
        <a:xfrm>
          <a:off x="140359" y="227"/>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1. </a:t>
          </a:r>
          <a:r>
            <a:rPr lang="fi-FI">
              <a:solidFill>
                <a:sysClr val="windowText" lastClr="000000"/>
              </a:solidFill>
            </a:rPr>
            <a:t>Onko alkuperäistä hankintaa koskeva sopimus ollut voimassaololtaan lyhyempi kuin kolme vuotta? </a:t>
          </a:r>
        </a:p>
        <a:p>
          <a:pPr>
            <a:buNone/>
          </a:pPr>
          <a:r>
            <a:rPr lang="fi-FI">
              <a:solidFill>
                <a:sysClr val="windowText" lastClr="000000"/>
              </a:solidFill>
              <a:latin typeface="Calibri" panose="020F0502020204030204"/>
              <a:ea typeface="+mn-ea"/>
              <a:cs typeface="+mn-cs"/>
            </a:rPr>
            <a:t>MAO ei ottanut tähän kantaa.</a:t>
          </a:r>
        </a:p>
      </dgm:t>
    </dgm:pt>
    <dgm:pt modelId="{CCB401BB-9E98-4D21-B322-CAA2915D338C}" type="parTrans" cxnId="{60B6553E-2A37-4C64-9130-C3A150A745F6}">
      <dgm:prSet/>
      <dgm:spPr/>
      <dgm:t>
        <a:bodyPr/>
        <a:lstStyle/>
        <a:p>
          <a:endParaRPr lang="fi-FI">
            <a:solidFill>
              <a:sysClr val="windowText" lastClr="000000"/>
            </a:solidFill>
          </a:endParaRPr>
        </a:p>
      </dgm:t>
    </dgm:pt>
    <dgm:pt modelId="{609144C7-1E99-47E4-99D0-D51CDEC9844D}" type="sibTrans" cxnId="{60B6553E-2A37-4C64-9130-C3A150A745F6}">
      <dgm:prSet/>
      <dgm:spPr>
        <a:xfrm>
          <a:off x="2178225" y="566407"/>
          <a:ext cx="438523" cy="91440"/>
        </a:xfrm>
        <a:custGeom>
          <a:avLst/>
          <a:gdLst/>
          <a:ahLst/>
          <a:cxnLst/>
          <a:rect l="0" t="0" r="0" b="0"/>
          <a:pathLst>
            <a:path>
              <a:moveTo>
                <a:pt x="0" y="45720"/>
              </a:moveTo>
              <a:lnTo>
                <a:pt x="561756"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4A6C48D1-ED78-4180-85FB-ED04F1D087F7}">
      <dgm:prSet phldrT="[Teksti]"/>
      <dgm:spPr>
        <a:xfrm>
          <a:off x="2649149" y="227"/>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2. </a:t>
          </a:r>
          <a:r>
            <a:rPr lang="fi-FI">
              <a:solidFill>
                <a:sysClr val="windowText" lastClr="000000"/>
              </a:solidFill>
            </a:rPr>
            <a:t>Onko uudistettava sopimus sopimuskaudeltaan lyhyempi kuin kolme vuotta?</a:t>
          </a:r>
        </a:p>
        <a:p>
          <a:pPr>
            <a:buNone/>
          </a:pPr>
          <a:r>
            <a:rPr lang="fi-FI">
              <a:solidFill>
                <a:sysClr val="windowText" lastClr="000000"/>
              </a:solidFill>
              <a:latin typeface="Calibri" panose="020F0502020204030204"/>
              <a:ea typeface="+mn-ea"/>
              <a:cs typeface="+mn-cs"/>
            </a:rPr>
            <a:t>MAO ei ottanut tähän kantaa.</a:t>
          </a:r>
        </a:p>
      </dgm:t>
    </dgm:pt>
    <dgm:pt modelId="{CA376908-F9BC-43F4-BC45-F8105B825359}" type="parTrans" cxnId="{A5E7EC06-8F0F-47AF-A1CF-F78C447234E0}">
      <dgm:prSet/>
      <dgm:spPr/>
      <dgm:t>
        <a:bodyPr/>
        <a:lstStyle/>
        <a:p>
          <a:endParaRPr lang="fi-FI">
            <a:solidFill>
              <a:sysClr val="windowText" lastClr="000000"/>
            </a:solidFill>
          </a:endParaRPr>
        </a:p>
      </dgm:t>
    </dgm:pt>
    <dgm:pt modelId="{33725084-76F9-486A-BB5C-AC1E9277051A}" type="sibTrans" cxnId="{A5E7EC06-8F0F-47AF-A1CF-F78C447234E0}">
      <dgm:prSet/>
      <dgm:spPr>
        <a:xfrm>
          <a:off x="1164965" y="1222226"/>
          <a:ext cx="2504016" cy="438523"/>
        </a:xfrm>
        <a:custGeom>
          <a:avLst/>
          <a:gdLst/>
          <a:ahLst/>
          <a:cxnLst/>
          <a:rect l="0" t="0" r="0" b="0"/>
          <a:pathLst>
            <a:path>
              <a:moveTo>
                <a:pt x="3161790" y="0"/>
              </a:moveTo>
              <a:lnTo>
                <a:pt x="3161790"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3929C554-0BB0-4FDC-921E-17F6340B0079}">
      <dgm:prSet phldrT="[Teksti]"/>
      <dgm:spPr>
        <a:xfrm>
          <a:off x="145132" y="1693150"/>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3. </a:t>
          </a:r>
          <a:r>
            <a:rPr lang="fi-FI">
              <a:solidFill>
                <a:sysClr val="windowText" lastClr="000000"/>
              </a:solidFill>
            </a:rPr>
            <a:t>Onko kyseessä aiemman toimituksen osittainen korvaaminen tai laajentaminen</a:t>
          </a:r>
          <a:r>
            <a:rPr lang="fi-FI"/>
            <a:t>?</a:t>
          </a:r>
        </a:p>
        <a:p>
          <a:pPr>
            <a:buNone/>
          </a:pPr>
          <a:r>
            <a:rPr lang="fi-FI">
              <a:solidFill>
                <a:sysClr val="windowText" lastClr="000000"/>
              </a:solidFill>
              <a:latin typeface="Calibri" panose="020F0502020204030204"/>
              <a:ea typeface="+mn-ea"/>
              <a:cs typeface="+mn-cs"/>
            </a:rPr>
            <a:t>MAO ei ottanut tähän kantaa.</a:t>
          </a:r>
        </a:p>
      </dgm:t>
    </dgm:pt>
    <dgm:pt modelId="{FD25660B-1185-4E7A-B094-0FE56BF21BAA}" type="parTrans" cxnId="{0CAED515-66C9-40B9-9C2B-4B7EFE5624D4}">
      <dgm:prSet/>
      <dgm:spPr/>
      <dgm:t>
        <a:bodyPr/>
        <a:lstStyle/>
        <a:p>
          <a:endParaRPr lang="fi-FI">
            <a:solidFill>
              <a:sysClr val="windowText" lastClr="000000"/>
            </a:solidFill>
          </a:endParaRPr>
        </a:p>
      </dgm:t>
    </dgm:pt>
    <dgm:pt modelId="{3BB0C006-587F-4F0E-BF15-F598EE107F5E}" type="sibTrans" cxnId="{0CAED515-66C9-40B9-9C2B-4B7EFE5624D4}">
      <dgm:prSet/>
      <dgm:spPr>
        <a:xfrm>
          <a:off x="2182998" y="2259329"/>
          <a:ext cx="433750" cy="91440"/>
        </a:xfrm>
        <a:custGeom>
          <a:avLst/>
          <a:gdLst/>
          <a:ahLst/>
          <a:cxnLst/>
          <a:rect l="0" t="0" r="0" b="0"/>
          <a:pathLst>
            <a:path>
              <a:moveTo>
                <a:pt x="0" y="45720"/>
              </a:moveTo>
              <a:lnTo>
                <a:pt x="555729"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9A8FF1FD-9F85-48E8-B796-760A7B1CE1BC}">
      <dgm:prSet/>
      <dgm:spPr>
        <a:xfrm>
          <a:off x="2649149" y="1693150"/>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4. </a:t>
          </a:r>
          <a:r>
            <a:rPr lang="fi-FI">
              <a:solidFill>
                <a:sysClr val="windowText" lastClr="000000"/>
              </a:solidFill>
            </a:rPr>
            <a:t>Onko hankintayksikkö osoittanut, että toimittajan vaihtaminen aiheuttaisi </a:t>
          </a:r>
          <a:r>
            <a:rPr lang="fi-FI" b="0" i="0">
              <a:solidFill>
                <a:sysClr val="windowText" lastClr="000000"/>
              </a:solidFill>
            </a:rPr>
            <a:t>yhteensopimattomuutta tai suhteettoman suuria teknisiä vaikeuksia käytössä ja kunnossapidossa?</a:t>
          </a:r>
        </a:p>
        <a:p>
          <a:pPr>
            <a:buNone/>
          </a:pPr>
          <a:r>
            <a:rPr lang="fi-FI">
              <a:solidFill>
                <a:sysClr val="windowText" lastClr="000000"/>
              </a:solidFill>
              <a:latin typeface="Calibri" panose="020F0502020204030204"/>
              <a:ea typeface="+mn-ea"/>
              <a:cs typeface="+mn-cs"/>
            </a:rPr>
            <a:t>Ei. Ainakin kaksi toimittajaa pystyi toimittamaan tilauksen, eikä yhteensopimattomuutta tai teknisiä vaikeuksia ollut näytetty toteen.</a:t>
          </a:r>
        </a:p>
      </dgm:t>
    </dgm:pt>
    <dgm:pt modelId="{8C7746FF-7E9D-4176-B051-013A6B7803EC}" type="parTrans" cxnId="{43E43B6E-FCFF-4591-BED6-67C4D31A7C97}">
      <dgm:prSet/>
      <dgm:spPr/>
      <dgm:t>
        <a:bodyPr/>
        <a:lstStyle/>
        <a:p>
          <a:endParaRPr lang="fi-FI">
            <a:solidFill>
              <a:sysClr val="windowText" lastClr="000000"/>
            </a:solidFill>
          </a:endParaRPr>
        </a:p>
      </dgm:t>
    </dgm:pt>
    <dgm:pt modelId="{D00B2F1D-6347-4CE2-A45C-E9FA6A3391F3}" type="sibTrans" cxnId="{43E43B6E-FCFF-4591-BED6-67C4D31A7C97}">
      <dgm:prSet/>
      <dgm:spPr>
        <a:xfrm>
          <a:off x="1160192" y="2915149"/>
          <a:ext cx="2508789" cy="438523"/>
        </a:xfrm>
        <a:custGeom>
          <a:avLst/>
          <a:gdLst/>
          <a:ahLst/>
          <a:cxnLst/>
          <a:rect l="0" t="0" r="0" b="0"/>
          <a:pathLst>
            <a:path>
              <a:moveTo>
                <a:pt x="3167817" y="0"/>
              </a:moveTo>
              <a:lnTo>
                <a:pt x="3167817"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9CCD94EF-4AE1-430A-9AAA-45A99AEC17F3}">
      <dgm:prSet/>
      <dgm:spPr>
        <a:xfrm>
          <a:off x="140359" y="3386073"/>
          <a:ext cx="2039666" cy="122379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5 Lopputulos</a:t>
          </a:r>
        </a:p>
        <a:p>
          <a:pPr>
            <a:buNone/>
          </a:pPr>
          <a:r>
            <a:rPr lang="fi-FI">
              <a:solidFill>
                <a:sysClr val="windowText" lastClr="000000"/>
              </a:solidFill>
              <a:latin typeface="Calibri" panose="020F0502020204030204"/>
              <a:ea typeface="+mn-ea"/>
              <a:cs typeface="+mn-cs"/>
            </a:rPr>
            <a:t>Kyyseessä oli hankintalain vastainen suorahankinta</a:t>
          </a:r>
        </a:p>
      </dgm:t>
    </dgm:pt>
    <dgm:pt modelId="{A8AB1813-874D-439B-AEA7-EBE170F595C7}" type="parTrans" cxnId="{54D54C4C-49F8-465B-99A2-E4257D24B464}">
      <dgm:prSet/>
      <dgm:spPr/>
      <dgm:t>
        <a:bodyPr/>
        <a:lstStyle/>
        <a:p>
          <a:endParaRPr lang="fi-FI">
            <a:solidFill>
              <a:sysClr val="windowText" lastClr="000000"/>
            </a:solidFill>
          </a:endParaRPr>
        </a:p>
      </dgm:t>
    </dgm:pt>
    <dgm:pt modelId="{0C71C626-2ACD-4468-80AA-B5ED254EDD2F}" type="sibTrans" cxnId="{54D54C4C-49F8-465B-99A2-E4257D24B464}">
      <dgm:prSet/>
      <dgm:spPr/>
      <dgm:t>
        <a:bodyPr/>
        <a:lstStyle/>
        <a:p>
          <a:endParaRPr lang="fi-FI">
            <a:solidFill>
              <a:sysClr val="windowText" lastClr="000000"/>
            </a:solidFill>
          </a:endParaRPr>
        </a:p>
      </dgm:t>
    </dgm:pt>
    <dgm:pt modelId="{36AFA748-5C0D-4F8F-9B51-FE187B027AF3}" type="pres">
      <dgm:prSet presAssocID="{E12573E2-02EF-43E2-A843-A9563C1B4AAC}" presName="Name0" presStyleCnt="0">
        <dgm:presLayoutVars>
          <dgm:dir/>
          <dgm:resizeHandles val="exact"/>
        </dgm:presLayoutVars>
      </dgm:prSet>
      <dgm:spPr/>
    </dgm:pt>
    <dgm:pt modelId="{82DDBB0C-6284-41A9-A5D3-2262C324B5B7}" type="pres">
      <dgm:prSet presAssocID="{C9D641C7-25EC-4535-B982-5DA860973ADE}" presName="node" presStyleLbl="node1" presStyleIdx="0" presStyleCnt="5">
        <dgm:presLayoutVars>
          <dgm:bulletEnabled val="1"/>
        </dgm:presLayoutVars>
      </dgm:prSet>
      <dgm:spPr/>
    </dgm:pt>
    <dgm:pt modelId="{859A2246-0D94-44D0-ACD1-291D007ED9E8}" type="pres">
      <dgm:prSet presAssocID="{609144C7-1E99-47E4-99D0-D51CDEC9844D}" presName="sibTrans" presStyleLbl="sibTrans1D1" presStyleIdx="0" presStyleCnt="4"/>
      <dgm:spPr/>
    </dgm:pt>
    <dgm:pt modelId="{6A4C3CF5-E3B7-4FC4-A109-17F917458521}" type="pres">
      <dgm:prSet presAssocID="{609144C7-1E99-47E4-99D0-D51CDEC9844D}" presName="connectorText" presStyleLbl="sibTrans1D1" presStyleIdx="0" presStyleCnt="4"/>
      <dgm:spPr/>
    </dgm:pt>
    <dgm:pt modelId="{07EC27AD-1185-4BCF-A04C-2707FD37DCFF}" type="pres">
      <dgm:prSet presAssocID="{4A6C48D1-ED78-4180-85FB-ED04F1D087F7}" presName="node" presStyleLbl="node1" presStyleIdx="1" presStyleCnt="5">
        <dgm:presLayoutVars>
          <dgm:bulletEnabled val="1"/>
        </dgm:presLayoutVars>
      </dgm:prSet>
      <dgm:spPr/>
    </dgm:pt>
    <dgm:pt modelId="{25418725-021E-4E6F-92F5-2DE916B221F6}" type="pres">
      <dgm:prSet presAssocID="{33725084-76F9-486A-BB5C-AC1E9277051A}" presName="sibTrans" presStyleLbl="sibTrans1D1" presStyleIdx="1" presStyleCnt="4"/>
      <dgm:spPr/>
    </dgm:pt>
    <dgm:pt modelId="{EB916133-525B-40C7-8248-28E2F6DE4FF6}" type="pres">
      <dgm:prSet presAssocID="{33725084-76F9-486A-BB5C-AC1E9277051A}" presName="connectorText" presStyleLbl="sibTrans1D1" presStyleIdx="1" presStyleCnt="4"/>
      <dgm:spPr/>
    </dgm:pt>
    <dgm:pt modelId="{08414A20-1000-4082-8FC3-8C19028E37C5}" type="pres">
      <dgm:prSet presAssocID="{3929C554-0BB0-4FDC-921E-17F6340B0079}" presName="node" presStyleLbl="node1" presStyleIdx="2" presStyleCnt="5" custLinFactNeighborX="1102" custLinFactNeighborY="2894">
        <dgm:presLayoutVars>
          <dgm:bulletEnabled val="1"/>
        </dgm:presLayoutVars>
      </dgm:prSet>
      <dgm:spPr/>
    </dgm:pt>
    <dgm:pt modelId="{6439E115-9D2F-4DD8-9C0D-370381DF9197}" type="pres">
      <dgm:prSet presAssocID="{3BB0C006-587F-4F0E-BF15-F598EE107F5E}" presName="sibTrans" presStyleLbl="sibTrans1D1" presStyleIdx="2" presStyleCnt="4"/>
      <dgm:spPr/>
    </dgm:pt>
    <dgm:pt modelId="{5A3B7394-511D-4E7B-A360-8F059923D9B7}" type="pres">
      <dgm:prSet presAssocID="{3BB0C006-587F-4F0E-BF15-F598EE107F5E}" presName="connectorText" presStyleLbl="sibTrans1D1" presStyleIdx="2" presStyleCnt="4"/>
      <dgm:spPr/>
    </dgm:pt>
    <dgm:pt modelId="{F40E941B-626D-4411-BB0C-26AE21BAAC0C}" type="pres">
      <dgm:prSet presAssocID="{9A8FF1FD-9F85-48E8-B796-760A7B1CE1BC}" presName="node" presStyleLbl="node1" presStyleIdx="3" presStyleCnt="5">
        <dgm:presLayoutVars>
          <dgm:bulletEnabled val="1"/>
        </dgm:presLayoutVars>
      </dgm:prSet>
      <dgm:spPr/>
    </dgm:pt>
    <dgm:pt modelId="{BB28FC3A-201A-4B05-93E4-3779982A9DB8}" type="pres">
      <dgm:prSet presAssocID="{D00B2F1D-6347-4CE2-A45C-E9FA6A3391F3}" presName="sibTrans" presStyleLbl="sibTrans1D1" presStyleIdx="3" presStyleCnt="4"/>
      <dgm:spPr/>
    </dgm:pt>
    <dgm:pt modelId="{D90EA0AD-4EEA-45AE-ADEA-CEA2A7D0490E}" type="pres">
      <dgm:prSet presAssocID="{D00B2F1D-6347-4CE2-A45C-E9FA6A3391F3}" presName="connectorText" presStyleLbl="sibTrans1D1" presStyleIdx="3" presStyleCnt="4"/>
      <dgm:spPr/>
    </dgm:pt>
    <dgm:pt modelId="{E82D830D-2892-4439-B7B8-B99140C4F4D5}" type="pres">
      <dgm:prSet presAssocID="{9CCD94EF-4AE1-430A-9AAA-45A99AEC17F3}" presName="node" presStyleLbl="node1" presStyleIdx="4" presStyleCnt="5">
        <dgm:presLayoutVars>
          <dgm:bulletEnabled val="1"/>
        </dgm:presLayoutVars>
      </dgm:prSet>
      <dgm:spPr/>
    </dgm:pt>
  </dgm:ptLst>
  <dgm:cxnLst>
    <dgm:cxn modelId="{A5E7EC06-8F0F-47AF-A1CF-F78C447234E0}" srcId="{E12573E2-02EF-43E2-A843-A9563C1B4AAC}" destId="{4A6C48D1-ED78-4180-85FB-ED04F1D087F7}" srcOrd="1" destOrd="0" parTransId="{CA376908-F9BC-43F4-BC45-F8105B825359}" sibTransId="{33725084-76F9-486A-BB5C-AC1E9277051A}"/>
    <dgm:cxn modelId="{0CAED515-66C9-40B9-9C2B-4B7EFE5624D4}" srcId="{E12573E2-02EF-43E2-A843-A9563C1B4AAC}" destId="{3929C554-0BB0-4FDC-921E-17F6340B0079}" srcOrd="2" destOrd="0" parTransId="{FD25660B-1185-4E7A-B094-0FE56BF21BAA}" sibTransId="{3BB0C006-587F-4F0E-BF15-F598EE107F5E}"/>
    <dgm:cxn modelId="{6CC42C28-D271-4B7C-B01B-D88F1E47DCBF}" type="presOf" srcId="{D00B2F1D-6347-4CE2-A45C-E9FA6A3391F3}" destId="{D90EA0AD-4EEA-45AE-ADEA-CEA2A7D0490E}" srcOrd="1" destOrd="0" presId="urn:microsoft.com/office/officeart/2005/8/layout/bProcess3"/>
    <dgm:cxn modelId="{FCA04C28-3FE8-4B51-91F6-E10E13223107}" type="presOf" srcId="{D00B2F1D-6347-4CE2-A45C-E9FA6A3391F3}" destId="{BB28FC3A-201A-4B05-93E4-3779982A9DB8}" srcOrd="0" destOrd="0" presId="urn:microsoft.com/office/officeart/2005/8/layout/bProcess3"/>
    <dgm:cxn modelId="{60FA8B3B-9CBA-4276-BA6C-1806E82759E5}" type="presOf" srcId="{33725084-76F9-486A-BB5C-AC1E9277051A}" destId="{EB916133-525B-40C7-8248-28E2F6DE4FF6}" srcOrd="1" destOrd="0" presId="urn:microsoft.com/office/officeart/2005/8/layout/bProcess3"/>
    <dgm:cxn modelId="{60B6553E-2A37-4C64-9130-C3A150A745F6}" srcId="{E12573E2-02EF-43E2-A843-A9563C1B4AAC}" destId="{C9D641C7-25EC-4535-B982-5DA860973ADE}" srcOrd="0" destOrd="0" parTransId="{CCB401BB-9E98-4D21-B322-CAA2915D338C}" sibTransId="{609144C7-1E99-47E4-99D0-D51CDEC9844D}"/>
    <dgm:cxn modelId="{7D91245E-2F47-4914-A311-F0FE9C6A9519}" type="presOf" srcId="{C9D641C7-25EC-4535-B982-5DA860973ADE}" destId="{82DDBB0C-6284-41A9-A5D3-2262C324B5B7}" srcOrd="0" destOrd="0" presId="urn:microsoft.com/office/officeart/2005/8/layout/bProcess3"/>
    <dgm:cxn modelId="{44C22A42-498D-4DD9-BBE6-B664A62752E3}" type="presOf" srcId="{4A6C48D1-ED78-4180-85FB-ED04F1D087F7}" destId="{07EC27AD-1185-4BCF-A04C-2707FD37DCFF}" srcOrd="0" destOrd="0" presId="urn:microsoft.com/office/officeart/2005/8/layout/bProcess3"/>
    <dgm:cxn modelId="{E127AD44-6CA1-4E23-A5AD-7592A5AD704C}" type="presOf" srcId="{9A8FF1FD-9F85-48E8-B796-760A7B1CE1BC}" destId="{F40E941B-626D-4411-BB0C-26AE21BAAC0C}" srcOrd="0" destOrd="0" presId="urn:microsoft.com/office/officeart/2005/8/layout/bProcess3"/>
    <dgm:cxn modelId="{7926666A-6840-4EAA-AD36-3E0A33FBBCAC}" type="presOf" srcId="{3BB0C006-587F-4F0E-BF15-F598EE107F5E}" destId="{5A3B7394-511D-4E7B-A360-8F059923D9B7}" srcOrd="1" destOrd="0" presId="urn:microsoft.com/office/officeart/2005/8/layout/bProcess3"/>
    <dgm:cxn modelId="{54D54C4C-49F8-465B-99A2-E4257D24B464}" srcId="{E12573E2-02EF-43E2-A843-A9563C1B4AAC}" destId="{9CCD94EF-4AE1-430A-9AAA-45A99AEC17F3}" srcOrd="4" destOrd="0" parTransId="{A8AB1813-874D-439B-AEA7-EBE170F595C7}" sibTransId="{0C71C626-2ACD-4468-80AA-B5ED254EDD2F}"/>
    <dgm:cxn modelId="{43E43B6E-FCFF-4591-BED6-67C4D31A7C97}" srcId="{E12573E2-02EF-43E2-A843-A9563C1B4AAC}" destId="{9A8FF1FD-9F85-48E8-B796-760A7B1CE1BC}" srcOrd="3" destOrd="0" parTransId="{8C7746FF-7E9D-4176-B051-013A6B7803EC}" sibTransId="{D00B2F1D-6347-4CE2-A45C-E9FA6A3391F3}"/>
    <dgm:cxn modelId="{7051DF74-E00A-4B7E-A595-689421667BC7}" type="presOf" srcId="{3BB0C006-587F-4F0E-BF15-F598EE107F5E}" destId="{6439E115-9D2F-4DD8-9C0D-370381DF9197}" srcOrd="0" destOrd="0" presId="urn:microsoft.com/office/officeart/2005/8/layout/bProcess3"/>
    <dgm:cxn modelId="{D6B16D99-B944-4196-895F-F00075E00B49}" type="presOf" srcId="{9CCD94EF-4AE1-430A-9AAA-45A99AEC17F3}" destId="{E82D830D-2892-4439-B7B8-B99140C4F4D5}" srcOrd="0" destOrd="0" presId="urn:microsoft.com/office/officeart/2005/8/layout/bProcess3"/>
    <dgm:cxn modelId="{4F0320A2-0C95-4D93-97D3-EF1414280F03}" type="presOf" srcId="{3929C554-0BB0-4FDC-921E-17F6340B0079}" destId="{08414A20-1000-4082-8FC3-8C19028E37C5}" srcOrd="0" destOrd="0" presId="urn:microsoft.com/office/officeart/2005/8/layout/bProcess3"/>
    <dgm:cxn modelId="{DA6B5DB7-A793-4D7F-A4EE-03DCCB954C51}" type="presOf" srcId="{33725084-76F9-486A-BB5C-AC1E9277051A}" destId="{25418725-021E-4E6F-92F5-2DE916B221F6}" srcOrd="0" destOrd="0" presId="urn:microsoft.com/office/officeart/2005/8/layout/bProcess3"/>
    <dgm:cxn modelId="{DBEC8DCB-849C-4285-9C06-63326ABFCDD7}" type="presOf" srcId="{609144C7-1E99-47E4-99D0-D51CDEC9844D}" destId="{859A2246-0D94-44D0-ACD1-291D007ED9E8}" srcOrd="0" destOrd="0" presId="urn:microsoft.com/office/officeart/2005/8/layout/bProcess3"/>
    <dgm:cxn modelId="{C6DE22D0-0A7A-4C60-8385-F82724A3DA2B}" type="presOf" srcId="{E12573E2-02EF-43E2-A843-A9563C1B4AAC}" destId="{36AFA748-5C0D-4F8F-9B51-FE187B027AF3}" srcOrd="0" destOrd="0" presId="urn:microsoft.com/office/officeart/2005/8/layout/bProcess3"/>
    <dgm:cxn modelId="{48DA9AE4-3AF6-412F-9E49-E3A20CD2FA57}" type="presOf" srcId="{609144C7-1E99-47E4-99D0-D51CDEC9844D}" destId="{6A4C3CF5-E3B7-4FC4-A109-17F917458521}" srcOrd="1" destOrd="0" presId="urn:microsoft.com/office/officeart/2005/8/layout/bProcess3"/>
    <dgm:cxn modelId="{BA8266B8-4117-49C6-9A8D-69C945B8A999}" type="presParOf" srcId="{36AFA748-5C0D-4F8F-9B51-FE187B027AF3}" destId="{82DDBB0C-6284-41A9-A5D3-2262C324B5B7}" srcOrd="0" destOrd="0" presId="urn:microsoft.com/office/officeart/2005/8/layout/bProcess3"/>
    <dgm:cxn modelId="{6EF959AD-5A38-4DAE-804D-2914D288EE34}" type="presParOf" srcId="{36AFA748-5C0D-4F8F-9B51-FE187B027AF3}" destId="{859A2246-0D94-44D0-ACD1-291D007ED9E8}" srcOrd="1" destOrd="0" presId="urn:microsoft.com/office/officeart/2005/8/layout/bProcess3"/>
    <dgm:cxn modelId="{4CE06265-7349-41CB-9520-EF16DA6D9DB7}" type="presParOf" srcId="{859A2246-0D94-44D0-ACD1-291D007ED9E8}" destId="{6A4C3CF5-E3B7-4FC4-A109-17F917458521}" srcOrd="0" destOrd="0" presId="urn:microsoft.com/office/officeart/2005/8/layout/bProcess3"/>
    <dgm:cxn modelId="{6EB0AE16-FEF3-4692-AE91-A9B5E1B095A3}" type="presParOf" srcId="{36AFA748-5C0D-4F8F-9B51-FE187B027AF3}" destId="{07EC27AD-1185-4BCF-A04C-2707FD37DCFF}" srcOrd="2" destOrd="0" presId="urn:microsoft.com/office/officeart/2005/8/layout/bProcess3"/>
    <dgm:cxn modelId="{65699A94-D4B3-4208-8333-9738DCC4DB38}" type="presParOf" srcId="{36AFA748-5C0D-4F8F-9B51-FE187B027AF3}" destId="{25418725-021E-4E6F-92F5-2DE916B221F6}" srcOrd="3" destOrd="0" presId="urn:microsoft.com/office/officeart/2005/8/layout/bProcess3"/>
    <dgm:cxn modelId="{ABA91EEC-22FF-4027-8D11-C25A2E854883}" type="presParOf" srcId="{25418725-021E-4E6F-92F5-2DE916B221F6}" destId="{EB916133-525B-40C7-8248-28E2F6DE4FF6}" srcOrd="0" destOrd="0" presId="urn:microsoft.com/office/officeart/2005/8/layout/bProcess3"/>
    <dgm:cxn modelId="{0BE5FD00-6A1D-43A3-8229-EB44324F5791}" type="presParOf" srcId="{36AFA748-5C0D-4F8F-9B51-FE187B027AF3}" destId="{08414A20-1000-4082-8FC3-8C19028E37C5}" srcOrd="4" destOrd="0" presId="urn:microsoft.com/office/officeart/2005/8/layout/bProcess3"/>
    <dgm:cxn modelId="{BC53A4A8-5F66-42DB-9E10-3475AECC7342}" type="presParOf" srcId="{36AFA748-5C0D-4F8F-9B51-FE187B027AF3}" destId="{6439E115-9D2F-4DD8-9C0D-370381DF9197}" srcOrd="5" destOrd="0" presId="urn:microsoft.com/office/officeart/2005/8/layout/bProcess3"/>
    <dgm:cxn modelId="{DC08331F-AE3A-4916-A4B5-BA32107BE55C}" type="presParOf" srcId="{6439E115-9D2F-4DD8-9C0D-370381DF9197}" destId="{5A3B7394-511D-4E7B-A360-8F059923D9B7}" srcOrd="0" destOrd="0" presId="urn:microsoft.com/office/officeart/2005/8/layout/bProcess3"/>
    <dgm:cxn modelId="{2E428276-C6CF-44DF-BC5B-82B1D3ABD5A4}" type="presParOf" srcId="{36AFA748-5C0D-4F8F-9B51-FE187B027AF3}" destId="{F40E941B-626D-4411-BB0C-26AE21BAAC0C}" srcOrd="6" destOrd="0" presId="urn:microsoft.com/office/officeart/2005/8/layout/bProcess3"/>
    <dgm:cxn modelId="{CB9DDB4A-F213-4F33-B163-8D2A809ACC01}" type="presParOf" srcId="{36AFA748-5C0D-4F8F-9B51-FE187B027AF3}" destId="{BB28FC3A-201A-4B05-93E4-3779982A9DB8}" srcOrd="7" destOrd="0" presId="urn:microsoft.com/office/officeart/2005/8/layout/bProcess3"/>
    <dgm:cxn modelId="{47CF1CDF-D287-40A6-94DB-77E7270A44F2}" type="presParOf" srcId="{BB28FC3A-201A-4B05-93E4-3779982A9DB8}" destId="{D90EA0AD-4EEA-45AE-ADEA-CEA2A7D0490E}" srcOrd="0" destOrd="0" presId="urn:microsoft.com/office/officeart/2005/8/layout/bProcess3"/>
    <dgm:cxn modelId="{9D3DA2CE-920C-4294-A637-9738BC29F9F5}" type="presParOf" srcId="{36AFA748-5C0D-4F8F-9B51-FE187B027AF3}" destId="{E82D830D-2892-4439-B7B8-B99140C4F4D5}" srcOrd="8" destOrd="0" presId="urn:microsoft.com/office/officeart/2005/8/layout/b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2573E2-02EF-43E2-A843-A9563C1B4AAC}" type="doc">
      <dgm:prSet loTypeId="urn:microsoft.com/office/officeart/2005/8/layout/bProcess3" loCatId="process" qsTypeId="urn:microsoft.com/office/officeart/2005/8/quickstyle/simple1" qsCatId="simple" csTypeId="urn:microsoft.com/office/officeart/2005/8/colors/accent0_2" csCatId="mainScheme" phldr="1"/>
      <dgm:spPr/>
      <dgm:t>
        <a:bodyPr/>
        <a:lstStyle/>
        <a:p>
          <a:endParaRPr lang="fi-FI"/>
        </a:p>
      </dgm:t>
    </dgm:pt>
    <dgm:pt modelId="{C9D641C7-25EC-4535-B982-5DA860973ADE}">
      <dgm:prSet phldrT="[Teksti]"/>
      <dgm:spPr>
        <a:xfrm>
          <a:off x="320493" y="2787"/>
          <a:ext cx="2193902" cy="1316341"/>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1. </a:t>
          </a:r>
          <a:r>
            <a:rPr lang="fi-FI">
              <a:solidFill>
                <a:sysClr val="windowText" lastClr="000000"/>
              </a:solidFill>
            </a:rPr>
            <a:t>Onko lisätilauksesta maininta alkuperäisen hankinnan hankintailmoituksessa?</a:t>
          </a:r>
        </a:p>
        <a:p>
          <a:r>
            <a:rPr lang="fi-FI" i="1">
              <a:solidFill>
                <a:sysClr val="windowText" lastClr="000000"/>
              </a:solidFill>
            </a:rPr>
            <a:t>Kyllä, lisätilauksesta (optiosta) oli maininta alkuperäisessä hankintailmoituksessa.</a:t>
          </a:r>
          <a:endParaRPr lang="fi-FI">
            <a:solidFill>
              <a:sysClr val="windowText" lastClr="000000"/>
            </a:solidFill>
            <a:latin typeface="Calibri" panose="020F0502020204030204"/>
            <a:ea typeface="+mn-ea"/>
            <a:cs typeface="+mn-cs"/>
          </a:endParaRPr>
        </a:p>
      </dgm:t>
    </dgm:pt>
    <dgm:pt modelId="{CCB401BB-9E98-4D21-B322-CAA2915D338C}" type="parTrans" cxnId="{60B6553E-2A37-4C64-9130-C3A150A745F6}">
      <dgm:prSet/>
      <dgm:spPr/>
      <dgm:t>
        <a:bodyPr/>
        <a:lstStyle/>
        <a:p>
          <a:endParaRPr lang="fi-FI">
            <a:solidFill>
              <a:sysClr val="windowText" lastClr="000000"/>
            </a:solidFill>
          </a:endParaRPr>
        </a:p>
      </dgm:t>
    </dgm:pt>
    <dgm:pt modelId="{609144C7-1E99-47E4-99D0-D51CDEC9844D}" type="sibTrans" cxnId="{60B6553E-2A37-4C64-9130-C3A150A745F6}">
      <dgm:prSet/>
      <dgm:spPr>
        <a:xfrm>
          <a:off x="2512596" y="615238"/>
          <a:ext cx="473997" cy="91440"/>
        </a:xfrm>
        <a:custGeom>
          <a:avLst/>
          <a:gdLst/>
          <a:ahLst/>
          <a:cxnLst/>
          <a:rect l="0" t="0" r="0" b="0"/>
          <a:pathLst>
            <a:path>
              <a:moveTo>
                <a:pt x="0" y="45720"/>
              </a:moveTo>
              <a:lnTo>
                <a:pt x="561756"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4A6C48D1-ED78-4180-85FB-ED04F1D087F7}">
      <dgm:prSet phldrT="[Teksti]"/>
      <dgm:spPr>
        <a:xfrm>
          <a:off x="3018993" y="2787"/>
          <a:ext cx="2193902" cy="1316341"/>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2. </a:t>
          </a:r>
          <a:r>
            <a:rPr lang="fi-FI">
              <a:solidFill>
                <a:sysClr val="windowText" lastClr="000000"/>
              </a:solidFill>
            </a:rPr>
            <a:t>Onko lisätilaus tehty kolmen vuoden kuluessa alkuperäisen hankintasopimuksen solmimisesta?</a:t>
          </a:r>
        </a:p>
        <a:p>
          <a:r>
            <a:rPr lang="fi-FI" i="1">
              <a:solidFill>
                <a:sysClr val="windowText" lastClr="000000"/>
              </a:solidFill>
            </a:rPr>
            <a:t>Kyllä, lisätilausta koskeva päätös tehtiin n. vuoden kuluttua alkuperäisestä hankintapäätöksestä.</a:t>
          </a:r>
          <a:endParaRPr lang="fi-FI">
            <a:solidFill>
              <a:sysClr val="windowText" lastClr="000000"/>
            </a:solidFill>
            <a:latin typeface="Calibri" panose="020F0502020204030204"/>
            <a:ea typeface="+mn-ea"/>
            <a:cs typeface="+mn-cs"/>
          </a:endParaRPr>
        </a:p>
      </dgm:t>
    </dgm:pt>
    <dgm:pt modelId="{CA376908-F9BC-43F4-BC45-F8105B825359}" type="parTrans" cxnId="{A5E7EC06-8F0F-47AF-A1CF-F78C447234E0}">
      <dgm:prSet/>
      <dgm:spPr/>
      <dgm:t>
        <a:bodyPr/>
        <a:lstStyle/>
        <a:p>
          <a:endParaRPr lang="fi-FI">
            <a:solidFill>
              <a:sysClr val="windowText" lastClr="000000"/>
            </a:solidFill>
          </a:endParaRPr>
        </a:p>
      </dgm:t>
    </dgm:pt>
    <dgm:pt modelId="{33725084-76F9-486A-BB5C-AC1E9277051A}" type="sibTrans" cxnId="{A5E7EC06-8F0F-47AF-A1CF-F78C447234E0}">
      <dgm:prSet/>
      <dgm:spPr>
        <a:xfrm>
          <a:off x="1441621" y="1317329"/>
          <a:ext cx="2674323" cy="512092"/>
        </a:xfrm>
        <a:custGeom>
          <a:avLst/>
          <a:gdLst/>
          <a:ahLst/>
          <a:cxnLst/>
          <a:rect l="0" t="0" r="0" b="0"/>
          <a:pathLst>
            <a:path>
              <a:moveTo>
                <a:pt x="3161790" y="0"/>
              </a:moveTo>
              <a:lnTo>
                <a:pt x="3161790"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3929C554-0BB0-4FDC-921E-17F6340B0079}">
      <dgm:prSet phldrT="[Teksti]"/>
      <dgm:spPr>
        <a:xfrm>
          <a:off x="344670" y="1861821"/>
          <a:ext cx="2193902" cy="1316341"/>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3. </a:t>
          </a:r>
          <a:r>
            <a:rPr lang="fi-FI">
              <a:solidFill>
                <a:sysClr val="windowText" lastClr="000000"/>
              </a:solidFill>
            </a:rPr>
            <a:t>Vastaako lisätilaus aiemmin kilpailutettua palveluhankintaa tai rakennusurakkaa</a:t>
          </a:r>
          <a:r>
            <a:rPr lang="fi-FI" b="0" i="0">
              <a:solidFill>
                <a:sysClr val="windowText" lastClr="000000"/>
              </a:solidFill>
            </a:rPr>
            <a:t>?</a:t>
          </a:r>
        </a:p>
        <a:p>
          <a:r>
            <a:rPr lang="fi-FI" i="1">
              <a:solidFill>
                <a:sysClr val="windowText" lastClr="000000"/>
              </a:solidFill>
            </a:rPr>
            <a:t>Kyllä, lisätilauksessa oli kyse aiemmin kilpailutettuja kuljetuspalveluja vastaavasta hankinnasta.</a:t>
          </a:r>
          <a:endParaRPr lang="fi-FI">
            <a:solidFill>
              <a:sysClr val="windowText" lastClr="000000"/>
            </a:solidFill>
            <a:latin typeface="Calibri" panose="020F0502020204030204"/>
            <a:ea typeface="+mn-ea"/>
            <a:cs typeface="+mn-cs"/>
          </a:endParaRPr>
        </a:p>
      </dgm:t>
    </dgm:pt>
    <dgm:pt modelId="{FD25660B-1185-4E7A-B094-0FE56BF21BAA}" type="parTrans" cxnId="{0CAED515-66C9-40B9-9C2B-4B7EFE5624D4}">
      <dgm:prSet/>
      <dgm:spPr/>
      <dgm:t>
        <a:bodyPr/>
        <a:lstStyle/>
        <a:p>
          <a:endParaRPr lang="fi-FI">
            <a:solidFill>
              <a:sysClr val="windowText" lastClr="000000"/>
            </a:solidFill>
          </a:endParaRPr>
        </a:p>
      </dgm:t>
    </dgm:pt>
    <dgm:pt modelId="{3BB0C006-587F-4F0E-BF15-F598EE107F5E}" type="sibTrans" cxnId="{0CAED515-66C9-40B9-9C2B-4B7EFE5624D4}">
      <dgm:prSet/>
      <dgm:spPr>
        <a:xfrm>
          <a:off x="2536772" y="2436177"/>
          <a:ext cx="449820" cy="91440"/>
        </a:xfrm>
        <a:custGeom>
          <a:avLst/>
          <a:gdLst/>
          <a:ahLst/>
          <a:cxnLst/>
          <a:rect l="0" t="0" r="0" b="0"/>
          <a:pathLst>
            <a:path>
              <a:moveTo>
                <a:pt x="0" y="45720"/>
              </a:moveTo>
              <a:lnTo>
                <a:pt x="555729"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9A8FF1FD-9F85-48E8-B796-760A7B1CE1BC}">
      <dgm:prSet/>
      <dgm:spPr>
        <a:xfrm>
          <a:off x="3018993" y="1823726"/>
          <a:ext cx="2193902" cy="1316341"/>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4. Oliko </a:t>
          </a:r>
          <a:r>
            <a:rPr lang="fi-FI" b="0" i="0">
              <a:solidFill>
                <a:sysClr val="windowText" lastClr="000000"/>
              </a:solidFill>
            </a:rPr>
            <a:t>lisäpalvelun ennakoitu arvo otettu huomioon laskettaessa alkuperäisen sopimuksen kokonaisarvoa?</a:t>
          </a:r>
        </a:p>
        <a:p>
          <a:pPr>
            <a:buNone/>
          </a:pPr>
          <a:r>
            <a:rPr lang="fi-FI" b="0" i="0">
              <a:solidFill>
                <a:sysClr val="windowText" lastClr="000000"/>
              </a:solidFill>
              <a:latin typeface="Calibri" panose="020F0502020204030204"/>
              <a:ea typeface="+mn-ea"/>
              <a:cs typeface="+mn-cs"/>
            </a:rPr>
            <a:t>Kyllä lisäpalvelun ennakoitu arvo oli otettu huomioon alkuperäisen sopimuksen kokonaisarvossa</a:t>
          </a:r>
          <a:endParaRPr lang="fi-FI">
            <a:solidFill>
              <a:sysClr val="windowText" lastClr="000000"/>
            </a:solidFill>
            <a:latin typeface="Calibri" panose="020F0502020204030204"/>
            <a:ea typeface="+mn-ea"/>
            <a:cs typeface="+mn-cs"/>
          </a:endParaRPr>
        </a:p>
      </dgm:t>
    </dgm:pt>
    <dgm:pt modelId="{8C7746FF-7E9D-4176-B051-013A6B7803EC}" type="parTrans" cxnId="{43E43B6E-FCFF-4591-BED6-67C4D31A7C97}">
      <dgm:prSet/>
      <dgm:spPr/>
      <dgm:t>
        <a:bodyPr/>
        <a:lstStyle/>
        <a:p>
          <a:endParaRPr lang="fi-FI">
            <a:solidFill>
              <a:sysClr val="windowText" lastClr="000000"/>
            </a:solidFill>
          </a:endParaRPr>
        </a:p>
      </dgm:t>
    </dgm:pt>
    <dgm:pt modelId="{D00B2F1D-6347-4CE2-A45C-E9FA6A3391F3}" type="sibTrans" cxnId="{43E43B6E-FCFF-4591-BED6-67C4D31A7C97}">
      <dgm:prSet/>
      <dgm:spPr>
        <a:xfrm>
          <a:off x="1417444" y="3138268"/>
          <a:ext cx="2698500" cy="473997"/>
        </a:xfrm>
        <a:custGeom>
          <a:avLst/>
          <a:gdLst/>
          <a:ahLst/>
          <a:cxnLst/>
          <a:rect l="0" t="0" r="0" b="0"/>
          <a:pathLst>
            <a:path>
              <a:moveTo>
                <a:pt x="3167817" y="0"/>
              </a:moveTo>
              <a:lnTo>
                <a:pt x="3167817"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a:solidFill>
              <a:sysClr val="windowText" lastClr="000000"/>
            </a:solidFill>
            <a:latin typeface="Calibri" panose="020F0502020204030204"/>
            <a:ea typeface="+mn-ea"/>
            <a:cs typeface="+mn-cs"/>
          </a:endParaRPr>
        </a:p>
      </dgm:t>
    </dgm:pt>
    <dgm:pt modelId="{9CCD94EF-4AE1-430A-9AAA-45A99AEC17F3}">
      <dgm:prSet/>
      <dgm:spPr>
        <a:xfrm>
          <a:off x="320493" y="3644665"/>
          <a:ext cx="2193902" cy="1316341"/>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latin typeface="Calibri" panose="020F0502020204030204"/>
              <a:ea typeface="+mn-ea"/>
              <a:cs typeface="+mn-cs"/>
            </a:rPr>
            <a:t>5. Lopputulos</a:t>
          </a:r>
        </a:p>
        <a:p>
          <a:pPr>
            <a:buNone/>
          </a:pPr>
          <a:r>
            <a:rPr lang="fi-FI">
              <a:solidFill>
                <a:sysClr val="windowText" lastClr="000000"/>
              </a:solidFill>
              <a:latin typeface="Calibri" panose="020F0502020204030204"/>
              <a:ea typeface="+mn-ea"/>
              <a:cs typeface="+mn-cs"/>
            </a:rPr>
            <a:t>Kyyseessä oli hankintalain mukainen sallittu lisätilaus</a:t>
          </a:r>
        </a:p>
      </dgm:t>
    </dgm:pt>
    <dgm:pt modelId="{A8AB1813-874D-439B-AEA7-EBE170F595C7}" type="parTrans" cxnId="{54D54C4C-49F8-465B-99A2-E4257D24B464}">
      <dgm:prSet/>
      <dgm:spPr/>
      <dgm:t>
        <a:bodyPr/>
        <a:lstStyle/>
        <a:p>
          <a:endParaRPr lang="fi-FI">
            <a:solidFill>
              <a:sysClr val="windowText" lastClr="000000"/>
            </a:solidFill>
          </a:endParaRPr>
        </a:p>
      </dgm:t>
    </dgm:pt>
    <dgm:pt modelId="{0C71C626-2ACD-4468-80AA-B5ED254EDD2F}" type="sibTrans" cxnId="{54D54C4C-49F8-465B-99A2-E4257D24B464}">
      <dgm:prSet/>
      <dgm:spPr/>
      <dgm:t>
        <a:bodyPr/>
        <a:lstStyle/>
        <a:p>
          <a:endParaRPr lang="fi-FI">
            <a:solidFill>
              <a:sysClr val="windowText" lastClr="000000"/>
            </a:solidFill>
          </a:endParaRPr>
        </a:p>
      </dgm:t>
    </dgm:pt>
    <dgm:pt modelId="{36AFA748-5C0D-4F8F-9B51-FE187B027AF3}" type="pres">
      <dgm:prSet presAssocID="{E12573E2-02EF-43E2-A843-A9563C1B4AAC}" presName="Name0" presStyleCnt="0">
        <dgm:presLayoutVars>
          <dgm:dir/>
          <dgm:resizeHandles val="exact"/>
        </dgm:presLayoutVars>
      </dgm:prSet>
      <dgm:spPr/>
    </dgm:pt>
    <dgm:pt modelId="{82DDBB0C-6284-41A9-A5D3-2262C324B5B7}" type="pres">
      <dgm:prSet presAssocID="{C9D641C7-25EC-4535-B982-5DA860973ADE}" presName="node" presStyleLbl="node1" presStyleIdx="0" presStyleCnt="5">
        <dgm:presLayoutVars>
          <dgm:bulletEnabled val="1"/>
        </dgm:presLayoutVars>
      </dgm:prSet>
      <dgm:spPr/>
    </dgm:pt>
    <dgm:pt modelId="{859A2246-0D94-44D0-ACD1-291D007ED9E8}" type="pres">
      <dgm:prSet presAssocID="{609144C7-1E99-47E4-99D0-D51CDEC9844D}" presName="sibTrans" presStyleLbl="sibTrans1D1" presStyleIdx="0" presStyleCnt="4"/>
      <dgm:spPr/>
    </dgm:pt>
    <dgm:pt modelId="{6A4C3CF5-E3B7-4FC4-A109-17F917458521}" type="pres">
      <dgm:prSet presAssocID="{609144C7-1E99-47E4-99D0-D51CDEC9844D}" presName="connectorText" presStyleLbl="sibTrans1D1" presStyleIdx="0" presStyleCnt="4"/>
      <dgm:spPr/>
    </dgm:pt>
    <dgm:pt modelId="{07EC27AD-1185-4BCF-A04C-2707FD37DCFF}" type="pres">
      <dgm:prSet presAssocID="{4A6C48D1-ED78-4180-85FB-ED04F1D087F7}" presName="node" presStyleLbl="node1" presStyleIdx="1" presStyleCnt="5">
        <dgm:presLayoutVars>
          <dgm:bulletEnabled val="1"/>
        </dgm:presLayoutVars>
      </dgm:prSet>
      <dgm:spPr/>
    </dgm:pt>
    <dgm:pt modelId="{25418725-021E-4E6F-92F5-2DE916B221F6}" type="pres">
      <dgm:prSet presAssocID="{33725084-76F9-486A-BB5C-AC1E9277051A}" presName="sibTrans" presStyleLbl="sibTrans1D1" presStyleIdx="1" presStyleCnt="4"/>
      <dgm:spPr/>
    </dgm:pt>
    <dgm:pt modelId="{EB916133-525B-40C7-8248-28E2F6DE4FF6}" type="pres">
      <dgm:prSet presAssocID="{33725084-76F9-486A-BB5C-AC1E9277051A}" presName="connectorText" presStyleLbl="sibTrans1D1" presStyleIdx="1" presStyleCnt="4"/>
      <dgm:spPr/>
    </dgm:pt>
    <dgm:pt modelId="{08414A20-1000-4082-8FC3-8C19028E37C5}" type="pres">
      <dgm:prSet presAssocID="{3929C554-0BB0-4FDC-921E-17F6340B0079}" presName="node" presStyleLbl="node1" presStyleIdx="2" presStyleCnt="5" custLinFactNeighborX="1102" custLinFactNeighborY="2894">
        <dgm:presLayoutVars>
          <dgm:bulletEnabled val="1"/>
        </dgm:presLayoutVars>
      </dgm:prSet>
      <dgm:spPr/>
    </dgm:pt>
    <dgm:pt modelId="{6439E115-9D2F-4DD8-9C0D-370381DF9197}" type="pres">
      <dgm:prSet presAssocID="{3BB0C006-587F-4F0E-BF15-F598EE107F5E}" presName="sibTrans" presStyleLbl="sibTrans1D1" presStyleIdx="2" presStyleCnt="4"/>
      <dgm:spPr/>
    </dgm:pt>
    <dgm:pt modelId="{5A3B7394-511D-4E7B-A360-8F059923D9B7}" type="pres">
      <dgm:prSet presAssocID="{3BB0C006-587F-4F0E-BF15-F598EE107F5E}" presName="connectorText" presStyleLbl="sibTrans1D1" presStyleIdx="2" presStyleCnt="4"/>
      <dgm:spPr/>
    </dgm:pt>
    <dgm:pt modelId="{F40E941B-626D-4411-BB0C-26AE21BAAC0C}" type="pres">
      <dgm:prSet presAssocID="{9A8FF1FD-9F85-48E8-B796-760A7B1CE1BC}" presName="node" presStyleLbl="node1" presStyleIdx="3" presStyleCnt="5">
        <dgm:presLayoutVars>
          <dgm:bulletEnabled val="1"/>
        </dgm:presLayoutVars>
      </dgm:prSet>
      <dgm:spPr/>
    </dgm:pt>
    <dgm:pt modelId="{BB28FC3A-201A-4B05-93E4-3779982A9DB8}" type="pres">
      <dgm:prSet presAssocID="{D00B2F1D-6347-4CE2-A45C-E9FA6A3391F3}" presName="sibTrans" presStyleLbl="sibTrans1D1" presStyleIdx="3" presStyleCnt="4"/>
      <dgm:spPr/>
    </dgm:pt>
    <dgm:pt modelId="{D90EA0AD-4EEA-45AE-ADEA-CEA2A7D0490E}" type="pres">
      <dgm:prSet presAssocID="{D00B2F1D-6347-4CE2-A45C-E9FA6A3391F3}" presName="connectorText" presStyleLbl="sibTrans1D1" presStyleIdx="3" presStyleCnt="4"/>
      <dgm:spPr/>
    </dgm:pt>
    <dgm:pt modelId="{E82D830D-2892-4439-B7B8-B99140C4F4D5}" type="pres">
      <dgm:prSet presAssocID="{9CCD94EF-4AE1-430A-9AAA-45A99AEC17F3}" presName="node" presStyleLbl="node1" presStyleIdx="4" presStyleCnt="5">
        <dgm:presLayoutVars>
          <dgm:bulletEnabled val="1"/>
        </dgm:presLayoutVars>
      </dgm:prSet>
      <dgm:spPr/>
    </dgm:pt>
  </dgm:ptLst>
  <dgm:cxnLst>
    <dgm:cxn modelId="{A5E7EC06-8F0F-47AF-A1CF-F78C447234E0}" srcId="{E12573E2-02EF-43E2-A843-A9563C1B4AAC}" destId="{4A6C48D1-ED78-4180-85FB-ED04F1D087F7}" srcOrd="1" destOrd="0" parTransId="{CA376908-F9BC-43F4-BC45-F8105B825359}" sibTransId="{33725084-76F9-486A-BB5C-AC1E9277051A}"/>
    <dgm:cxn modelId="{0CAED515-66C9-40B9-9C2B-4B7EFE5624D4}" srcId="{E12573E2-02EF-43E2-A843-A9563C1B4AAC}" destId="{3929C554-0BB0-4FDC-921E-17F6340B0079}" srcOrd="2" destOrd="0" parTransId="{FD25660B-1185-4E7A-B094-0FE56BF21BAA}" sibTransId="{3BB0C006-587F-4F0E-BF15-F598EE107F5E}"/>
    <dgm:cxn modelId="{6CC42C28-D271-4B7C-B01B-D88F1E47DCBF}" type="presOf" srcId="{D00B2F1D-6347-4CE2-A45C-E9FA6A3391F3}" destId="{D90EA0AD-4EEA-45AE-ADEA-CEA2A7D0490E}" srcOrd="1" destOrd="0" presId="urn:microsoft.com/office/officeart/2005/8/layout/bProcess3"/>
    <dgm:cxn modelId="{FCA04C28-3FE8-4B51-91F6-E10E13223107}" type="presOf" srcId="{D00B2F1D-6347-4CE2-A45C-E9FA6A3391F3}" destId="{BB28FC3A-201A-4B05-93E4-3779982A9DB8}" srcOrd="0" destOrd="0" presId="urn:microsoft.com/office/officeart/2005/8/layout/bProcess3"/>
    <dgm:cxn modelId="{60FA8B3B-9CBA-4276-BA6C-1806E82759E5}" type="presOf" srcId="{33725084-76F9-486A-BB5C-AC1E9277051A}" destId="{EB916133-525B-40C7-8248-28E2F6DE4FF6}" srcOrd="1" destOrd="0" presId="urn:microsoft.com/office/officeart/2005/8/layout/bProcess3"/>
    <dgm:cxn modelId="{60B6553E-2A37-4C64-9130-C3A150A745F6}" srcId="{E12573E2-02EF-43E2-A843-A9563C1B4AAC}" destId="{C9D641C7-25EC-4535-B982-5DA860973ADE}" srcOrd="0" destOrd="0" parTransId="{CCB401BB-9E98-4D21-B322-CAA2915D338C}" sibTransId="{609144C7-1E99-47E4-99D0-D51CDEC9844D}"/>
    <dgm:cxn modelId="{7D91245E-2F47-4914-A311-F0FE9C6A9519}" type="presOf" srcId="{C9D641C7-25EC-4535-B982-5DA860973ADE}" destId="{82DDBB0C-6284-41A9-A5D3-2262C324B5B7}" srcOrd="0" destOrd="0" presId="urn:microsoft.com/office/officeart/2005/8/layout/bProcess3"/>
    <dgm:cxn modelId="{44C22A42-498D-4DD9-BBE6-B664A62752E3}" type="presOf" srcId="{4A6C48D1-ED78-4180-85FB-ED04F1D087F7}" destId="{07EC27AD-1185-4BCF-A04C-2707FD37DCFF}" srcOrd="0" destOrd="0" presId="urn:microsoft.com/office/officeart/2005/8/layout/bProcess3"/>
    <dgm:cxn modelId="{E127AD44-6CA1-4E23-A5AD-7592A5AD704C}" type="presOf" srcId="{9A8FF1FD-9F85-48E8-B796-760A7B1CE1BC}" destId="{F40E941B-626D-4411-BB0C-26AE21BAAC0C}" srcOrd="0" destOrd="0" presId="urn:microsoft.com/office/officeart/2005/8/layout/bProcess3"/>
    <dgm:cxn modelId="{7926666A-6840-4EAA-AD36-3E0A33FBBCAC}" type="presOf" srcId="{3BB0C006-587F-4F0E-BF15-F598EE107F5E}" destId="{5A3B7394-511D-4E7B-A360-8F059923D9B7}" srcOrd="1" destOrd="0" presId="urn:microsoft.com/office/officeart/2005/8/layout/bProcess3"/>
    <dgm:cxn modelId="{54D54C4C-49F8-465B-99A2-E4257D24B464}" srcId="{E12573E2-02EF-43E2-A843-A9563C1B4AAC}" destId="{9CCD94EF-4AE1-430A-9AAA-45A99AEC17F3}" srcOrd="4" destOrd="0" parTransId="{A8AB1813-874D-439B-AEA7-EBE170F595C7}" sibTransId="{0C71C626-2ACD-4468-80AA-B5ED254EDD2F}"/>
    <dgm:cxn modelId="{43E43B6E-FCFF-4591-BED6-67C4D31A7C97}" srcId="{E12573E2-02EF-43E2-A843-A9563C1B4AAC}" destId="{9A8FF1FD-9F85-48E8-B796-760A7B1CE1BC}" srcOrd="3" destOrd="0" parTransId="{8C7746FF-7E9D-4176-B051-013A6B7803EC}" sibTransId="{D00B2F1D-6347-4CE2-A45C-E9FA6A3391F3}"/>
    <dgm:cxn modelId="{7051DF74-E00A-4B7E-A595-689421667BC7}" type="presOf" srcId="{3BB0C006-587F-4F0E-BF15-F598EE107F5E}" destId="{6439E115-9D2F-4DD8-9C0D-370381DF9197}" srcOrd="0" destOrd="0" presId="urn:microsoft.com/office/officeart/2005/8/layout/bProcess3"/>
    <dgm:cxn modelId="{D6B16D99-B944-4196-895F-F00075E00B49}" type="presOf" srcId="{9CCD94EF-4AE1-430A-9AAA-45A99AEC17F3}" destId="{E82D830D-2892-4439-B7B8-B99140C4F4D5}" srcOrd="0" destOrd="0" presId="urn:microsoft.com/office/officeart/2005/8/layout/bProcess3"/>
    <dgm:cxn modelId="{4F0320A2-0C95-4D93-97D3-EF1414280F03}" type="presOf" srcId="{3929C554-0BB0-4FDC-921E-17F6340B0079}" destId="{08414A20-1000-4082-8FC3-8C19028E37C5}" srcOrd="0" destOrd="0" presId="urn:microsoft.com/office/officeart/2005/8/layout/bProcess3"/>
    <dgm:cxn modelId="{DA6B5DB7-A793-4D7F-A4EE-03DCCB954C51}" type="presOf" srcId="{33725084-76F9-486A-BB5C-AC1E9277051A}" destId="{25418725-021E-4E6F-92F5-2DE916B221F6}" srcOrd="0" destOrd="0" presId="urn:microsoft.com/office/officeart/2005/8/layout/bProcess3"/>
    <dgm:cxn modelId="{DBEC8DCB-849C-4285-9C06-63326ABFCDD7}" type="presOf" srcId="{609144C7-1E99-47E4-99D0-D51CDEC9844D}" destId="{859A2246-0D94-44D0-ACD1-291D007ED9E8}" srcOrd="0" destOrd="0" presId="urn:microsoft.com/office/officeart/2005/8/layout/bProcess3"/>
    <dgm:cxn modelId="{C6DE22D0-0A7A-4C60-8385-F82724A3DA2B}" type="presOf" srcId="{E12573E2-02EF-43E2-A843-A9563C1B4AAC}" destId="{36AFA748-5C0D-4F8F-9B51-FE187B027AF3}" srcOrd="0" destOrd="0" presId="urn:microsoft.com/office/officeart/2005/8/layout/bProcess3"/>
    <dgm:cxn modelId="{48DA9AE4-3AF6-412F-9E49-E3A20CD2FA57}" type="presOf" srcId="{609144C7-1E99-47E4-99D0-D51CDEC9844D}" destId="{6A4C3CF5-E3B7-4FC4-A109-17F917458521}" srcOrd="1" destOrd="0" presId="urn:microsoft.com/office/officeart/2005/8/layout/bProcess3"/>
    <dgm:cxn modelId="{BA8266B8-4117-49C6-9A8D-69C945B8A999}" type="presParOf" srcId="{36AFA748-5C0D-4F8F-9B51-FE187B027AF3}" destId="{82DDBB0C-6284-41A9-A5D3-2262C324B5B7}" srcOrd="0" destOrd="0" presId="urn:microsoft.com/office/officeart/2005/8/layout/bProcess3"/>
    <dgm:cxn modelId="{6EF959AD-5A38-4DAE-804D-2914D288EE34}" type="presParOf" srcId="{36AFA748-5C0D-4F8F-9B51-FE187B027AF3}" destId="{859A2246-0D94-44D0-ACD1-291D007ED9E8}" srcOrd="1" destOrd="0" presId="urn:microsoft.com/office/officeart/2005/8/layout/bProcess3"/>
    <dgm:cxn modelId="{4CE06265-7349-41CB-9520-EF16DA6D9DB7}" type="presParOf" srcId="{859A2246-0D94-44D0-ACD1-291D007ED9E8}" destId="{6A4C3CF5-E3B7-4FC4-A109-17F917458521}" srcOrd="0" destOrd="0" presId="urn:microsoft.com/office/officeart/2005/8/layout/bProcess3"/>
    <dgm:cxn modelId="{6EB0AE16-FEF3-4692-AE91-A9B5E1B095A3}" type="presParOf" srcId="{36AFA748-5C0D-4F8F-9B51-FE187B027AF3}" destId="{07EC27AD-1185-4BCF-A04C-2707FD37DCFF}" srcOrd="2" destOrd="0" presId="urn:microsoft.com/office/officeart/2005/8/layout/bProcess3"/>
    <dgm:cxn modelId="{65699A94-D4B3-4208-8333-9738DCC4DB38}" type="presParOf" srcId="{36AFA748-5C0D-4F8F-9B51-FE187B027AF3}" destId="{25418725-021E-4E6F-92F5-2DE916B221F6}" srcOrd="3" destOrd="0" presId="urn:microsoft.com/office/officeart/2005/8/layout/bProcess3"/>
    <dgm:cxn modelId="{ABA91EEC-22FF-4027-8D11-C25A2E854883}" type="presParOf" srcId="{25418725-021E-4E6F-92F5-2DE916B221F6}" destId="{EB916133-525B-40C7-8248-28E2F6DE4FF6}" srcOrd="0" destOrd="0" presId="urn:microsoft.com/office/officeart/2005/8/layout/bProcess3"/>
    <dgm:cxn modelId="{0BE5FD00-6A1D-43A3-8229-EB44324F5791}" type="presParOf" srcId="{36AFA748-5C0D-4F8F-9B51-FE187B027AF3}" destId="{08414A20-1000-4082-8FC3-8C19028E37C5}" srcOrd="4" destOrd="0" presId="urn:microsoft.com/office/officeart/2005/8/layout/bProcess3"/>
    <dgm:cxn modelId="{BC53A4A8-5F66-42DB-9E10-3475AECC7342}" type="presParOf" srcId="{36AFA748-5C0D-4F8F-9B51-FE187B027AF3}" destId="{6439E115-9D2F-4DD8-9C0D-370381DF9197}" srcOrd="5" destOrd="0" presId="urn:microsoft.com/office/officeart/2005/8/layout/bProcess3"/>
    <dgm:cxn modelId="{DC08331F-AE3A-4916-A4B5-BA32107BE55C}" type="presParOf" srcId="{6439E115-9D2F-4DD8-9C0D-370381DF9197}" destId="{5A3B7394-511D-4E7B-A360-8F059923D9B7}" srcOrd="0" destOrd="0" presId="urn:microsoft.com/office/officeart/2005/8/layout/bProcess3"/>
    <dgm:cxn modelId="{2E428276-C6CF-44DF-BC5B-82B1D3ABD5A4}" type="presParOf" srcId="{36AFA748-5C0D-4F8F-9B51-FE187B027AF3}" destId="{F40E941B-626D-4411-BB0C-26AE21BAAC0C}" srcOrd="6" destOrd="0" presId="urn:microsoft.com/office/officeart/2005/8/layout/bProcess3"/>
    <dgm:cxn modelId="{CB9DDB4A-F213-4F33-B163-8D2A809ACC01}" type="presParOf" srcId="{36AFA748-5C0D-4F8F-9B51-FE187B027AF3}" destId="{BB28FC3A-201A-4B05-93E4-3779982A9DB8}" srcOrd="7" destOrd="0" presId="urn:microsoft.com/office/officeart/2005/8/layout/bProcess3"/>
    <dgm:cxn modelId="{47CF1CDF-D287-40A6-94DB-77E7270A44F2}" type="presParOf" srcId="{BB28FC3A-201A-4B05-93E4-3779982A9DB8}" destId="{D90EA0AD-4EEA-45AE-ADEA-CEA2A7D0490E}" srcOrd="0" destOrd="0" presId="urn:microsoft.com/office/officeart/2005/8/layout/bProcess3"/>
    <dgm:cxn modelId="{9D3DA2CE-920C-4294-A637-9738BC29F9F5}" type="presParOf" srcId="{36AFA748-5C0D-4F8F-9B51-FE187B027AF3}" destId="{E82D830D-2892-4439-B7B8-B99140C4F4D5}" srcOrd="8" destOrd="0" presId="urn:microsoft.com/office/officeart/2005/8/layout/bProcess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A2246-0D94-44D0-ACD1-291D007ED9E8}">
      <dsp:nvSpPr>
        <dsp:cNvPr id="0" name=""/>
        <dsp:cNvSpPr/>
      </dsp:nvSpPr>
      <dsp:spPr>
        <a:xfrm>
          <a:off x="2512828" y="615115"/>
          <a:ext cx="474044" cy="91440"/>
        </a:xfrm>
        <a:custGeom>
          <a:avLst/>
          <a:gdLst/>
          <a:ahLst/>
          <a:cxnLst/>
          <a:rect l="0" t="0" r="0" b="0"/>
          <a:pathLst>
            <a:path>
              <a:moveTo>
                <a:pt x="0" y="45720"/>
              </a:moveTo>
              <a:lnTo>
                <a:pt x="561756"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737234" y="658311"/>
        <a:ext cx="0" cy="0"/>
      </dsp:txXfrm>
    </dsp:sp>
    <dsp:sp modelId="{82DDBB0C-6284-41A9-A5D3-2262C324B5B7}">
      <dsp:nvSpPr>
        <dsp:cNvPr id="0" name=""/>
        <dsp:cNvSpPr/>
      </dsp:nvSpPr>
      <dsp:spPr>
        <a:xfrm>
          <a:off x="320523" y="2603"/>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1. </a:t>
          </a:r>
          <a:r>
            <a:rPr lang="fi-FI" sz="900" kern="1200">
              <a:solidFill>
                <a:sysClr val="windowText" lastClr="000000"/>
              </a:solidFill>
            </a:rPr>
            <a:t>Onko alkuperäistä hankintaa koskeva sopimus ollut voimassaololtaan lyhyempi kuin kolme vuotta? </a:t>
          </a:r>
        </a:p>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MAO ei ottanut tähän kantaa.</a:t>
          </a:r>
        </a:p>
      </dsp:txBody>
      <dsp:txXfrm>
        <a:off x="320523" y="2603"/>
        <a:ext cx="2194105" cy="1316463"/>
      </dsp:txXfrm>
    </dsp:sp>
    <dsp:sp modelId="{25418725-021E-4E6F-92F5-2DE916B221F6}">
      <dsp:nvSpPr>
        <dsp:cNvPr id="0" name=""/>
        <dsp:cNvSpPr/>
      </dsp:nvSpPr>
      <dsp:spPr>
        <a:xfrm>
          <a:off x="1441754" y="1317266"/>
          <a:ext cx="2674570" cy="512142"/>
        </a:xfrm>
        <a:custGeom>
          <a:avLst/>
          <a:gdLst/>
          <a:ahLst/>
          <a:cxnLst/>
          <a:rect l="0" t="0" r="0" b="0"/>
          <a:pathLst>
            <a:path>
              <a:moveTo>
                <a:pt x="3161790" y="0"/>
              </a:moveTo>
              <a:lnTo>
                <a:pt x="3161790"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710812" y="1570814"/>
        <a:ext cx="0" cy="0"/>
      </dsp:txXfrm>
    </dsp:sp>
    <dsp:sp modelId="{07EC27AD-1185-4BCF-A04C-2707FD37DCFF}">
      <dsp:nvSpPr>
        <dsp:cNvPr id="0" name=""/>
        <dsp:cNvSpPr/>
      </dsp:nvSpPr>
      <dsp:spPr>
        <a:xfrm>
          <a:off x="3019272" y="2603"/>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2. </a:t>
          </a:r>
          <a:r>
            <a:rPr lang="fi-FI" sz="900" kern="1200">
              <a:solidFill>
                <a:sysClr val="windowText" lastClr="000000"/>
              </a:solidFill>
            </a:rPr>
            <a:t>Onko uudistettava sopimus sopimuskaudeltaan lyhyempi kuin kolme vuotta?</a:t>
          </a:r>
        </a:p>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MAO ei ottanut tähän kantaa.</a:t>
          </a:r>
        </a:p>
      </dsp:txBody>
      <dsp:txXfrm>
        <a:off x="3019272" y="2603"/>
        <a:ext cx="2194105" cy="1316463"/>
      </dsp:txXfrm>
    </dsp:sp>
    <dsp:sp modelId="{6439E115-9D2F-4DD8-9C0D-370381DF9197}">
      <dsp:nvSpPr>
        <dsp:cNvPr id="0" name=""/>
        <dsp:cNvSpPr/>
      </dsp:nvSpPr>
      <dsp:spPr>
        <a:xfrm>
          <a:off x="2537007" y="2436222"/>
          <a:ext cx="449865" cy="91440"/>
        </a:xfrm>
        <a:custGeom>
          <a:avLst/>
          <a:gdLst/>
          <a:ahLst/>
          <a:cxnLst/>
          <a:rect l="0" t="0" r="0" b="0"/>
          <a:pathLst>
            <a:path>
              <a:moveTo>
                <a:pt x="0" y="45720"/>
              </a:moveTo>
              <a:lnTo>
                <a:pt x="555729"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749890" y="2479419"/>
        <a:ext cx="0" cy="0"/>
      </dsp:txXfrm>
    </dsp:sp>
    <dsp:sp modelId="{08414A20-1000-4082-8FC3-8C19028E37C5}">
      <dsp:nvSpPr>
        <dsp:cNvPr id="0" name=""/>
        <dsp:cNvSpPr/>
      </dsp:nvSpPr>
      <dsp:spPr>
        <a:xfrm>
          <a:off x="344702" y="1861809"/>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3. </a:t>
          </a:r>
          <a:r>
            <a:rPr lang="fi-FI" sz="900" kern="1200">
              <a:solidFill>
                <a:sysClr val="windowText" lastClr="000000"/>
              </a:solidFill>
            </a:rPr>
            <a:t>Onko kyseessä aiemman toimituksen osittainen korvaaminen tai laajentaminen</a:t>
          </a:r>
          <a:r>
            <a:rPr lang="fi-FI" sz="900" kern="1200"/>
            <a:t>?</a:t>
          </a:r>
        </a:p>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MAO ei ottanut tähän kantaa.</a:t>
          </a:r>
        </a:p>
      </dsp:txBody>
      <dsp:txXfrm>
        <a:off x="344702" y="1861809"/>
        <a:ext cx="2194105" cy="1316463"/>
      </dsp:txXfrm>
    </dsp:sp>
    <dsp:sp modelId="{BB28FC3A-201A-4B05-93E4-3779982A9DB8}">
      <dsp:nvSpPr>
        <dsp:cNvPr id="0" name=""/>
        <dsp:cNvSpPr/>
      </dsp:nvSpPr>
      <dsp:spPr>
        <a:xfrm>
          <a:off x="1417575" y="3138374"/>
          <a:ext cx="2698749" cy="474044"/>
        </a:xfrm>
        <a:custGeom>
          <a:avLst/>
          <a:gdLst/>
          <a:ahLst/>
          <a:cxnLst/>
          <a:rect l="0" t="0" r="0" b="0"/>
          <a:pathLst>
            <a:path>
              <a:moveTo>
                <a:pt x="3167817" y="0"/>
              </a:moveTo>
              <a:lnTo>
                <a:pt x="3167817"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698312" y="3372872"/>
        <a:ext cx="0" cy="0"/>
      </dsp:txXfrm>
    </dsp:sp>
    <dsp:sp modelId="{F40E941B-626D-4411-BB0C-26AE21BAAC0C}">
      <dsp:nvSpPr>
        <dsp:cNvPr id="0" name=""/>
        <dsp:cNvSpPr/>
      </dsp:nvSpPr>
      <dsp:spPr>
        <a:xfrm>
          <a:off x="3019272" y="1823710"/>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4. </a:t>
          </a:r>
          <a:r>
            <a:rPr lang="fi-FI" sz="900" kern="1200">
              <a:solidFill>
                <a:sysClr val="windowText" lastClr="000000"/>
              </a:solidFill>
            </a:rPr>
            <a:t>Onko hankintayksikkö osoittanut, että toimittajan vaihtaminen aiheuttaisi </a:t>
          </a:r>
          <a:r>
            <a:rPr lang="fi-FI" sz="900" b="0" i="0" kern="1200">
              <a:solidFill>
                <a:sysClr val="windowText" lastClr="000000"/>
              </a:solidFill>
            </a:rPr>
            <a:t>yhteensopimattomuutta tai suhteettoman suuria teknisiä vaikeuksia käytössä ja kunnossapidossa?</a:t>
          </a:r>
        </a:p>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Ei. Ainakin kaksi toimittajaa pystyi toimittamaan tilauksen, eikä yhteensopimattomuutta tai teknisiä vaikeuksia ollut näytetty toteen.</a:t>
          </a:r>
        </a:p>
      </dsp:txBody>
      <dsp:txXfrm>
        <a:off x="3019272" y="1823710"/>
        <a:ext cx="2194105" cy="1316463"/>
      </dsp:txXfrm>
    </dsp:sp>
    <dsp:sp modelId="{E82D830D-2892-4439-B7B8-B99140C4F4D5}">
      <dsp:nvSpPr>
        <dsp:cNvPr id="0" name=""/>
        <dsp:cNvSpPr/>
      </dsp:nvSpPr>
      <dsp:spPr>
        <a:xfrm>
          <a:off x="320523" y="3644818"/>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5 Lopputulos</a:t>
          </a:r>
        </a:p>
        <a:p>
          <a:pPr marL="0" lvl="0" indent="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Kyyseessä oli hankintalain vastainen suorahankinta</a:t>
          </a:r>
        </a:p>
      </dsp:txBody>
      <dsp:txXfrm>
        <a:off x="320523" y="3644818"/>
        <a:ext cx="2194105" cy="13164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A2246-0D94-44D0-ACD1-291D007ED9E8}">
      <dsp:nvSpPr>
        <dsp:cNvPr id="0" name=""/>
        <dsp:cNvSpPr/>
      </dsp:nvSpPr>
      <dsp:spPr>
        <a:xfrm>
          <a:off x="2512828" y="615115"/>
          <a:ext cx="474044" cy="91440"/>
        </a:xfrm>
        <a:custGeom>
          <a:avLst/>
          <a:gdLst/>
          <a:ahLst/>
          <a:cxnLst/>
          <a:rect l="0" t="0" r="0" b="0"/>
          <a:pathLst>
            <a:path>
              <a:moveTo>
                <a:pt x="0" y="45720"/>
              </a:moveTo>
              <a:lnTo>
                <a:pt x="561756"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737234" y="658311"/>
        <a:ext cx="0" cy="0"/>
      </dsp:txXfrm>
    </dsp:sp>
    <dsp:sp modelId="{82DDBB0C-6284-41A9-A5D3-2262C324B5B7}">
      <dsp:nvSpPr>
        <dsp:cNvPr id="0" name=""/>
        <dsp:cNvSpPr/>
      </dsp:nvSpPr>
      <dsp:spPr>
        <a:xfrm>
          <a:off x="320523" y="2603"/>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i-FI" sz="1100" kern="1200">
              <a:solidFill>
                <a:sysClr val="windowText" lastClr="000000"/>
              </a:solidFill>
              <a:latin typeface="Calibri" panose="020F0502020204030204"/>
              <a:ea typeface="+mn-ea"/>
              <a:cs typeface="+mn-cs"/>
            </a:rPr>
            <a:t>1. </a:t>
          </a:r>
          <a:r>
            <a:rPr lang="fi-FI" sz="1100" kern="1200">
              <a:solidFill>
                <a:sysClr val="windowText" lastClr="000000"/>
              </a:solidFill>
            </a:rPr>
            <a:t>Onko lisätilauksesta maininta alkuperäisen hankinnan hankintailmoituksessa?</a:t>
          </a:r>
        </a:p>
        <a:p>
          <a:pPr marL="0" lvl="0" indent="0" algn="ctr" defTabSz="488950">
            <a:lnSpc>
              <a:spcPct val="90000"/>
            </a:lnSpc>
            <a:spcBef>
              <a:spcPct val="0"/>
            </a:spcBef>
            <a:spcAft>
              <a:spcPct val="35000"/>
            </a:spcAft>
            <a:buNone/>
          </a:pPr>
          <a:r>
            <a:rPr lang="fi-FI" sz="1100" i="1" kern="1200">
              <a:solidFill>
                <a:sysClr val="windowText" lastClr="000000"/>
              </a:solidFill>
            </a:rPr>
            <a:t>Kyllä, lisätilauksesta (optiosta) oli maininta alkuperäisessä hankintailmoituksessa.</a:t>
          </a:r>
          <a:endParaRPr lang="fi-FI" sz="1100" kern="1200">
            <a:solidFill>
              <a:sysClr val="windowText" lastClr="000000"/>
            </a:solidFill>
            <a:latin typeface="Calibri" panose="020F0502020204030204"/>
            <a:ea typeface="+mn-ea"/>
            <a:cs typeface="+mn-cs"/>
          </a:endParaRPr>
        </a:p>
      </dsp:txBody>
      <dsp:txXfrm>
        <a:off x="320523" y="2603"/>
        <a:ext cx="2194105" cy="1316463"/>
      </dsp:txXfrm>
    </dsp:sp>
    <dsp:sp modelId="{25418725-021E-4E6F-92F5-2DE916B221F6}">
      <dsp:nvSpPr>
        <dsp:cNvPr id="0" name=""/>
        <dsp:cNvSpPr/>
      </dsp:nvSpPr>
      <dsp:spPr>
        <a:xfrm>
          <a:off x="1441754" y="1317266"/>
          <a:ext cx="2674570" cy="512142"/>
        </a:xfrm>
        <a:custGeom>
          <a:avLst/>
          <a:gdLst/>
          <a:ahLst/>
          <a:cxnLst/>
          <a:rect l="0" t="0" r="0" b="0"/>
          <a:pathLst>
            <a:path>
              <a:moveTo>
                <a:pt x="3161790" y="0"/>
              </a:moveTo>
              <a:lnTo>
                <a:pt x="3161790"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710812" y="1570814"/>
        <a:ext cx="0" cy="0"/>
      </dsp:txXfrm>
    </dsp:sp>
    <dsp:sp modelId="{07EC27AD-1185-4BCF-A04C-2707FD37DCFF}">
      <dsp:nvSpPr>
        <dsp:cNvPr id="0" name=""/>
        <dsp:cNvSpPr/>
      </dsp:nvSpPr>
      <dsp:spPr>
        <a:xfrm>
          <a:off x="3019272" y="2603"/>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i-FI" sz="1100" kern="1200">
              <a:solidFill>
                <a:sysClr val="windowText" lastClr="000000"/>
              </a:solidFill>
              <a:latin typeface="Calibri" panose="020F0502020204030204"/>
              <a:ea typeface="+mn-ea"/>
              <a:cs typeface="+mn-cs"/>
            </a:rPr>
            <a:t>2. </a:t>
          </a:r>
          <a:r>
            <a:rPr lang="fi-FI" sz="1100" kern="1200">
              <a:solidFill>
                <a:sysClr val="windowText" lastClr="000000"/>
              </a:solidFill>
            </a:rPr>
            <a:t>Onko lisätilaus tehty kolmen vuoden kuluessa alkuperäisen hankintasopimuksen solmimisesta?</a:t>
          </a:r>
        </a:p>
        <a:p>
          <a:pPr marL="0" lvl="0" indent="0" algn="ctr" defTabSz="488950">
            <a:lnSpc>
              <a:spcPct val="90000"/>
            </a:lnSpc>
            <a:spcBef>
              <a:spcPct val="0"/>
            </a:spcBef>
            <a:spcAft>
              <a:spcPct val="35000"/>
            </a:spcAft>
            <a:buNone/>
          </a:pPr>
          <a:r>
            <a:rPr lang="fi-FI" sz="1100" i="1" kern="1200">
              <a:solidFill>
                <a:sysClr val="windowText" lastClr="000000"/>
              </a:solidFill>
            </a:rPr>
            <a:t>Kyllä, lisätilausta koskeva päätös tehtiin n. vuoden kuluttua alkuperäisestä hankintapäätöksestä.</a:t>
          </a:r>
          <a:endParaRPr lang="fi-FI" sz="1100" kern="1200">
            <a:solidFill>
              <a:sysClr val="windowText" lastClr="000000"/>
            </a:solidFill>
            <a:latin typeface="Calibri" panose="020F0502020204030204"/>
            <a:ea typeface="+mn-ea"/>
            <a:cs typeface="+mn-cs"/>
          </a:endParaRPr>
        </a:p>
      </dsp:txBody>
      <dsp:txXfrm>
        <a:off x="3019272" y="2603"/>
        <a:ext cx="2194105" cy="1316463"/>
      </dsp:txXfrm>
    </dsp:sp>
    <dsp:sp modelId="{6439E115-9D2F-4DD8-9C0D-370381DF9197}">
      <dsp:nvSpPr>
        <dsp:cNvPr id="0" name=""/>
        <dsp:cNvSpPr/>
      </dsp:nvSpPr>
      <dsp:spPr>
        <a:xfrm>
          <a:off x="2537007" y="2436222"/>
          <a:ext cx="449865" cy="91440"/>
        </a:xfrm>
        <a:custGeom>
          <a:avLst/>
          <a:gdLst/>
          <a:ahLst/>
          <a:cxnLst/>
          <a:rect l="0" t="0" r="0" b="0"/>
          <a:pathLst>
            <a:path>
              <a:moveTo>
                <a:pt x="0" y="45720"/>
              </a:moveTo>
              <a:lnTo>
                <a:pt x="555729"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749890" y="2479419"/>
        <a:ext cx="0" cy="0"/>
      </dsp:txXfrm>
    </dsp:sp>
    <dsp:sp modelId="{08414A20-1000-4082-8FC3-8C19028E37C5}">
      <dsp:nvSpPr>
        <dsp:cNvPr id="0" name=""/>
        <dsp:cNvSpPr/>
      </dsp:nvSpPr>
      <dsp:spPr>
        <a:xfrm>
          <a:off x="344702" y="1861809"/>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i-FI" sz="1100" kern="1200">
              <a:solidFill>
                <a:sysClr val="windowText" lastClr="000000"/>
              </a:solidFill>
              <a:latin typeface="Calibri" panose="020F0502020204030204"/>
              <a:ea typeface="+mn-ea"/>
              <a:cs typeface="+mn-cs"/>
            </a:rPr>
            <a:t>3. </a:t>
          </a:r>
          <a:r>
            <a:rPr lang="fi-FI" sz="1100" kern="1200">
              <a:solidFill>
                <a:sysClr val="windowText" lastClr="000000"/>
              </a:solidFill>
            </a:rPr>
            <a:t>Vastaako lisätilaus aiemmin kilpailutettua palveluhankintaa tai rakennusurakkaa</a:t>
          </a:r>
          <a:r>
            <a:rPr lang="fi-FI" sz="1100" b="0" i="0" kern="1200">
              <a:solidFill>
                <a:sysClr val="windowText" lastClr="000000"/>
              </a:solidFill>
            </a:rPr>
            <a:t>?</a:t>
          </a:r>
        </a:p>
        <a:p>
          <a:pPr marL="0" lvl="0" indent="0" algn="ctr" defTabSz="488950">
            <a:lnSpc>
              <a:spcPct val="90000"/>
            </a:lnSpc>
            <a:spcBef>
              <a:spcPct val="0"/>
            </a:spcBef>
            <a:spcAft>
              <a:spcPct val="35000"/>
            </a:spcAft>
            <a:buNone/>
          </a:pPr>
          <a:r>
            <a:rPr lang="fi-FI" sz="1100" i="1" kern="1200">
              <a:solidFill>
                <a:sysClr val="windowText" lastClr="000000"/>
              </a:solidFill>
            </a:rPr>
            <a:t>Kyllä, lisätilauksessa oli kyse aiemmin kilpailutettuja kuljetuspalveluja vastaavasta hankinnasta.</a:t>
          </a:r>
          <a:endParaRPr lang="fi-FI" sz="1100" kern="1200">
            <a:solidFill>
              <a:sysClr val="windowText" lastClr="000000"/>
            </a:solidFill>
            <a:latin typeface="Calibri" panose="020F0502020204030204"/>
            <a:ea typeface="+mn-ea"/>
            <a:cs typeface="+mn-cs"/>
          </a:endParaRPr>
        </a:p>
      </dsp:txBody>
      <dsp:txXfrm>
        <a:off x="344702" y="1861809"/>
        <a:ext cx="2194105" cy="1316463"/>
      </dsp:txXfrm>
    </dsp:sp>
    <dsp:sp modelId="{BB28FC3A-201A-4B05-93E4-3779982A9DB8}">
      <dsp:nvSpPr>
        <dsp:cNvPr id="0" name=""/>
        <dsp:cNvSpPr/>
      </dsp:nvSpPr>
      <dsp:spPr>
        <a:xfrm>
          <a:off x="1417575" y="3138374"/>
          <a:ext cx="2698749" cy="474044"/>
        </a:xfrm>
        <a:custGeom>
          <a:avLst/>
          <a:gdLst/>
          <a:ahLst/>
          <a:cxnLst/>
          <a:rect l="0" t="0" r="0" b="0"/>
          <a:pathLst>
            <a:path>
              <a:moveTo>
                <a:pt x="3167817" y="0"/>
              </a:moveTo>
              <a:lnTo>
                <a:pt x="3167817" y="297978"/>
              </a:lnTo>
              <a:lnTo>
                <a:pt x="0" y="297978"/>
              </a:lnTo>
              <a:lnTo>
                <a:pt x="0" y="561756"/>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solidFill>
              <a:sysClr val="windowText" lastClr="000000"/>
            </a:solidFill>
            <a:latin typeface="Calibri" panose="020F0502020204030204"/>
            <a:ea typeface="+mn-ea"/>
            <a:cs typeface="+mn-cs"/>
          </a:endParaRPr>
        </a:p>
      </dsp:txBody>
      <dsp:txXfrm>
        <a:off x="2698312" y="3372872"/>
        <a:ext cx="0" cy="0"/>
      </dsp:txXfrm>
    </dsp:sp>
    <dsp:sp modelId="{F40E941B-626D-4411-BB0C-26AE21BAAC0C}">
      <dsp:nvSpPr>
        <dsp:cNvPr id="0" name=""/>
        <dsp:cNvSpPr/>
      </dsp:nvSpPr>
      <dsp:spPr>
        <a:xfrm>
          <a:off x="3019272" y="1823710"/>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i-FI" sz="1100" kern="1200">
              <a:solidFill>
                <a:sysClr val="windowText" lastClr="000000"/>
              </a:solidFill>
              <a:latin typeface="Calibri" panose="020F0502020204030204"/>
              <a:ea typeface="+mn-ea"/>
              <a:cs typeface="+mn-cs"/>
            </a:rPr>
            <a:t>4. Oliko </a:t>
          </a:r>
          <a:r>
            <a:rPr lang="fi-FI" sz="1100" b="0" i="0" kern="1200">
              <a:solidFill>
                <a:sysClr val="windowText" lastClr="000000"/>
              </a:solidFill>
            </a:rPr>
            <a:t>lisäpalvelun ennakoitu arvo otettu huomioon laskettaessa alkuperäisen sopimuksen kokonaisarvoa?</a:t>
          </a:r>
        </a:p>
        <a:p>
          <a:pPr marL="0" lvl="0" indent="0" algn="ctr" defTabSz="488950">
            <a:lnSpc>
              <a:spcPct val="90000"/>
            </a:lnSpc>
            <a:spcBef>
              <a:spcPct val="0"/>
            </a:spcBef>
            <a:spcAft>
              <a:spcPct val="35000"/>
            </a:spcAft>
            <a:buNone/>
          </a:pPr>
          <a:r>
            <a:rPr lang="fi-FI" sz="1100" b="0" i="0" kern="1200">
              <a:solidFill>
                <a:sysClr val="windowText" lastClr="000000"/>
              </a:solidFill>
              <a:latin typeface="Calibri" panose="020F0502020204030204"/>
              <a:ea typeface="+mn-ea"/>
              <a:cs typeface="+mn-cs"/>
            </a:rPr>
            <a:t>Kyllä lisäpalvelun ennakoitu arvo oli otettu huomioon alkuperäisen sopimuksen kokonaisarvossa</a:t>
          </a:r>
          <a:endParaRPr lang="fi-FI" sz="1100" kern="1200">
            <a:solidFill>
              <a:sysClr val="windowText" lastClr="000000"/>
            </a:solidFill>
            <a:latin typeface="Calibri" panose="020F0502020204030204"/>
            <a:ea typeface="+mn-ea"/>
            <a:cs typeface="+mn-cs"/>
          </a:endParaRPr>
        </a:p>
      </dsp:txBody>
      <dsp:txXfrm>
        <a:off x="3019272" y="1823710"/>
        <a:ext cx="2194105" cy="1316463"/>
      </dsp:txXfrm>
    </dsp:sp>
    <dsp:sp modelId="{E82D830D-2892-4439-B7B8-B99140C4F4D5}">
      <dsp:nvSpPr>
        <dsp:cNvPr id="0" name=""/>
        <dsp:cNvSpPr/>
      </dsp:nvSpPr>
      <dsp:spPr>
        <a:xfrm>
          <a:off x="320523" y="3644818"/>
          <a:ext cx="2194105" cy="1316463"/>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i-FI" sz="1100" kern="1200">
              <a:solidFill>
                <a:sysClr val="windowText" lastClr="000000"/>
              </a:solidFill>
              <a:latin typeface="Calibri" panose="020F0502020204030204"/>
              <a:ea typeface="+mn-ea"/>
              <a:cs typeface="+mn-cs"/>
            </a:rPr>
            <a:t>5. Lopputulos</a:t>
          </a:r>
        </a:p>
        <a:p>
          <a:pPr marL="0" lvl="0" indent="0" algn="ctr" defTabSz="488950">
            <a:lnSpc>
              <a:spcPct val="90000"/>
            </a:lnSpc>
            <a:spcBef>
              <a:spcPct val="0"/>
            </a:spcBef>
            <a:spcAft>
              <a:spcPct val="35000"/>
            </a:spcAft>
            <a:buNone/>
          </a:pPr>
          <a:r>
            <a:rPr lang="fi-FI" sz="1100" kern="1200">
              <a:solidFill>
                <a:sysClr val="windowText" lastClr="000000"/>
              </a:solidFill>
              <a:latin typeface="Calibri" panose="020F0502020204030204"/>
              <a:ea typeface="+mn-ea"/>
              <a:cs typeface="+mn-cs"/>
            </a:rPr>
            <a:t>Kyyseessä oli hankintalain mukainen sallittu lisätilaus</a:t>
          </a:r>
        </a:p>
      </dsp:txBody>
      <dsp:txXfrm>
        <a:off x="320523" y="3644818"/>
        <a:ext cx="2194105" cy="131646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CB0779EAD0F49A717FF666F6F2934" ma:contentTypeVersion="11" ma:contentTypeDescription="Create a new document." ma:contentTypeScope="" ma:versionID="814ceb7f83e8696542c1a76804a5a540">
  <xsd:schema xmlns:xsd="http://www.w3.org/2001/XMLSchema" xmlns:xs="http://www.w3.org/2001/XMLSchema" xmlns:p="http://schemas.microsoft.com/office/2006/metadata/properties" xmlns:ns3="4ebdf037-8f86-47e0-8255-27304ff99a22" xmlns:ns4="9a968b78-03cb-40f4-b5d7-2dec82cf0ffa" targetNamespace="http://schemas.microsoft.com/office/2006/metadata/properties" ma:root="true" ma:fieldsID="58ea8a8cdd0d2ca7fa45ea4a6e0ff7e9" ns3:_="" ns4:_="">
    <xsd:import namespace="4ebdf037-8f86-47e0-8255-27304ff99a22"/>
    <xsd:import namespace="9a968b78-03cb-40f4-b5d7-2dec82cf0f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df037-8f86-47e0-8255-27304ff99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68b78-03cb-40f4-b5d7-2dec82cf0f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DCEA6-2E19-43C8-924F-F44D419839CD}">
  <ds:schemaRefs>
    <ds:schemaRef ds:uri="http://schemas.microsoft.com/sharepoint/v3/contenttype/forms"/>
  </ds:schemaRefs>
</ds:datastoreItem>
</file>

<file path=customXml/itemProps2.xml><?xml version="1.0" encoding="utf-8"?>
<ds:datastoreItem xmlns:ds="http://schemas.openxmlformats.org/officeDocument/2006/customXml" ds:itemID="{7539C14C-3FCA-47AE-BC87-AD71229780CA}">
  <ds:schemaRefs>
    <ds:schemaRef ds:uri="http://purl.org/dc/dcmitype/"/>
    <ds:schemaRef ds:uri="9a968b78-03cb-40f4-b5d7-2dec82cf0ffa"/>
    <ds:schemaRef ds:uri="http://www.w3.org/XML/1998/namespace"/>
    <ds:schemaRef ds:uri="http://purl.org/dc/elements/1.1/"/>
    <ds:schemaRef ds:uri="http://purl.org/dc/terms/"/>
    <ds:schemaRef ds:uri="4ebdf037-8f86-47e0-8255-27304ff99a2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BC6139A-9E45-4128-8C11-690338D2F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df037-8f86-47e0-8255-27304ff99a22"/>
    <ds:schemaRef ds:uri="9a968b78-03cb-40f4-b5d7-2dec82cf0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4F75F-26FA-4956-A34C-B960DBAC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4549</Words>
  <Characters>36849</Characters>
  <Application>Microsoft Office Word</Application>
  <DocSecurity>0</DocSecurity>
  <Lines>307</Lines>
  <Paragraphs>82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PTCServices Oy</dc:creator>
  <cp:keywords/>
  <dc:description/>
  <cp:lastModifiedBy>Pellinen Päivi</cp:lastModifiedBy>
  <cp:revision>2</cp:revision>
  <dcterms:created xsi:type="dcterms:W3CDTF">2019-11-12T06:50:00Z</dcterms:created>
  <dcterms:modified xsi:type="dcterms:W3CDTF">2019-11-12T06:50:00Z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0x010100930CB0779EAD0F49A717FF666F6F2934</vt:lpwstr>
  </property>
</Properties>
</file>