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DF6" w:rsidRDefault="00B730EE">
      <w:r>
        <w:rPr>
          <w:noProof/>
          <w:lang w:eastAsia="fi-F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199976</wp:posOffset>
            </wp:positionH>
            <wp:positionV relativeFrom="paragraph">
              <wp:posOffset>2876228</wp:posOffset>
            </wp:positionV>
            <wp:extent cx="6120130" cy="3958590"/>
            <wp:effectExtent l="0" t="0" r="0" b="0"/>
            <wp:wrapTopAndBottom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5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7206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FA0E50" wp14:editId="6903F30B">
                <wp:simplePos x="0" y="0"/>
                <wp:positionH relativeFrom="column">
                  <wp:posOffset>69215</wp:posOffset>
                </wp:positionH>
                <wp:positionV relativeFrom="paragraph">
                  <wp:posOffset>210185</wp:posOffset>
                </wp:positionV>
                <wp:extent cx="6265545" cy="2974340"/>
                <wp:effectExtent l="0" t="0" r="0" b="0"/>
                <wp:wrapTopAndBottom/>
                <wp:docPr id="3" name="Sisällön paikkamerkki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265545" cy="2974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B26B4" w:rsidRPr="009B26B4" w:rsidRDefault="009B26B4" w:rsidP="00074DF6">
                            <w:pPr>
                              <w:spacing w:line="216" w:lineRule="auto"/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 w:val="32"/>
                                <w:szCs w:val="56"/>
                              </w:rPr>
                            </w:pPr>
                            <w:r w:rsidRPr="009B26B4"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 w:val="32"/>
                                <w:szCs w:val="56"/>
                              </w:rPr>
                              <w:t>OPETUS- JA KULTTUURITOIMEN K</w:t>
                            </w:r>
                            <w:r w:rsidR="00B730EE"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 w:val="32"/>
                                <w:szCs w:val="56"/>
                              </w:rPr>
                              <w:t>ÄYTTÖK</w:t>
                            </w:r>
                            <w:r w:rsidRPr="009B26B4"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 w:val="32"/>
                                <w:szCs w:val="56"/>
                              </w:rPr>
                              <w:t xml:space="preserve">USTANNUKSET </w:t>
                            </w:r>
                          </w:p>
                          <w:p w:rsidR="009B26B4" w:rsidRDefault="009B26B4" w:rsidP="00074DF6">
                            <w:pPr>
                              <w:spacing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Cs w:val="56"/>
                              </w:rPr>
                            </w:pPr>
                          </w:p>
                          <w:p w:rsidR="00074DF6" w:rsidRDefault="00074DF6" w:rsidP="00074DF6">
                            <w:pPr>
                              <w:spacing w:line="216" w:lineRule="auto"/>
                              <w:rPr>
                                <w:rFonts w:eastAsia="Times New Roman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Cs w:val="56"/>
                              </w:rPr>
                              <w:t>Kuntien ja kuntayhtymien opetus- ja kulttuuritoimen käyttökustannukset olivat vuonna 2016 kaikkiaan 12,78 miljardia euroa. Tästä p</w:t>
                            </w:r>
                            <w:r w:rsidR="002B3365" w:rsidRPr="002B3365">
                              <w:rPr>
                                <w:rFonts w:hAnsi="Calibri"/>
                                <w:color w:val="000000" w:themeColor="text1"/>
                                <w:kern w:val="24"/>
                                <w:szCs w:val="56"/>
                              </w:rPr>
                              <w:t>erusopetuksen käyttökustannukset opetus- ja kulttuuritoimen vuoden 2016 käyttökustannuksista olivat noin 40 prosenttia.</w:t>
                            </w:r>
                            <w:r w:rsidR="009D5B07">
                              <w:rPr>
                                <w:rFonts w:eastAsia="Times New Roman"/>
                                <w:szCs w:val="24"/>
                              </w:rPr>
                              <w:t xml:space="preserve"> </w:t>
                            </w:r>
                            <w:r w:rsidR="002B3365" w:rsidRPr="002B3365">
                              <w:rPr>
                                <w:rFonts w:hAnsi="Calibri"/>
                                <w:color w:val="000000" w:themeColor="text1"/>
                                <w:kern w:val="24"/>
                                <w:szCs w:val="56"/>
                              </w:rPr>
                              <w:t>Esiopetuksen osuus oli noin 3 prosenttia ja varhaiskasvatuksen osuus noin 24 prosenttia.</w:t>
                            </w:r>
                          </w:p>
                          <w:p w:rsidR="002B3365" w:rsidRPr="00F360D9" w:rsidRDefault="002B3365" w:rsidP="00F360D9">
                            <w:pPr>
                              <w:spacing w:line="216" w:lineRule="auto"/>
                              <w:rPr>
                                <w:rFonts w:eastAsia="Times New Roman"/>
                                <w:szCs w:val="24"/>
                              </w:rPr>
                            </w:pPr>
                            <w:r w:rsidRPr="002B3365">
                              <w:rPr>
                                <w:rFonts w:hAnsi="Calibri"/>
                                <w:color w:val="000000" w:themeColor="text1"/>
                                <w:kern w:val="24"/>
                                <w:szCs w:val="56"/>
                              </w:rPr>
                              <w:t>Ammatillisen koulutuksen käyttökustannusten osuus oli noin 12 prosenttia</w:t>
                            </w:r>
                            <w:r w:rsidR="00F360D9">
                              <w:rPr>
                                <w:rFonts w:hAnsi="Calibri"/>
                                <w:color w:val="000000" w:themeColor="text1"/>
                                <w:kern w:val="24"/>
                                <w:szCs w:val="56"/>
                              </w:rPr>
                              <w:t xml:space="preserve">, kun taas </w:t>
                            </w:r>
                            <w:r w:rsidRPr="002B3365">
                              <w:rPr>
                                <w:rFonts w:hAnsi="Calibri"/>
                                <w:color w:val="000000" w:themeColor="text1"/>
                                <w:kern w:val="24"/>
                                <w:szCs w:val="56"/>
                              </w:rPr>
                              <w:t xml:space="preserve">lukiokoulutuksen </w:t>
                            </w:r>
                            <w:r w:rsidR="00F360D9">
                              <w:rPr>
                                <w:rFonts w:hAnsi="Calibri"/>
                                <w:color w:val="000000" w:themeColor="text1"/>
                                <w:kern w:val="24"/>
                                <w:szCs w:val="56"/>
                              </w:rPr>
                              <w:t xml:space="preserve">ja myös liikunnan ja ulkoilun </w:t>
                            </w:r>
                            <w:r w:rsidRPr="002B3365">
                              <w:rPr>
                                <w:rFonts w:hAnsi="Calibri"/>
                                <w:color w:val="000000" w:themeColor="text1"/>
                                <w:kern w:val="24"/>
                                <w:szCs w:val="56"/>
                              </w:rPr>
                              <w:t>käyttö</w:t>
                            </w:r>
                            <w:r w:rsidR="00DA216A">
                              <w:rPr>
                                <w:rFonts w:hAnsi="Calibri"/>
                                <w:color w:val="000000" w:themeColor="text1"/>
                                <w:kern w:val="24"/>
                                <w:szCs w:val="56"/>
                              </w:rPr>
                              <w:t>menojen osuu</w:t>
                            </w:r>
                            <w:r w:rsidR="00F360D9">
                              <w:rPr>
                                <w:rFonts w:hAnsi="Calibri"/>
                                <w:color w:val="000000" w:themeColor="text1"/>
                                <w:kern w:val="24"/>
                                <w:szCs w:val="56"/>
                              </w:rPr>
                              <w:t>det</w:t>
                            </w:r>
                            <w:r w:rsidRPr="002B3365">
                              <w:rPr>
                                <w:rFonts w:hAnsi="Calibri"/>
                                <w:color w:val="000000" w:themeColor="text1"/>
                                <w:kern w:val="24"/>
                                <w:szCs w:val="56"/>
                              </w:rPr>
                              <w:t xml:space="preserve"> olivat lähes yhtä suuret, alle 6 prosenttia. </w:t>
                            </w:r>
                          </w:p>
                          <w:p w:rsidR="002B3365" w:rsidRDefault="002B3365" w:rsidP="00F360D9">
                            <w:pPr>
                              <w:spacing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B3365">
                              <w:rPr>
                                <w:rFonts w:hAnsi="Calibri"/>
                                <w:color w:val="000000" w:themeColor="text1"/>
                                <w:kern w:val="24"/>
                                <w:szCs w:val="56"/>
                              </w:rPr>
                              <w:t>Kirjastojen osuus</w:t>
                            </w:r>
                            <w:r w:rsidR="00F360D9">
                              <w:rPr>
                                <w:rFonts w:hAnsi="Calibri"/>
                                <w:color w:val="000000" w:themeColor="text1"/>
                                <w:kern w:val="24"/>
                                <w:szCs w:val="56"/>
                              </w:rPr>
                              <w:t xml:space="preserve"> käyttömenoista</w:t>
                            </w:r>
                            <w:r w:rsidRPr="002B3365">
                              <w:rPr>
                                <w:rFonts w:hAnsi="Calibri"/>
                                <w:color w:val="000000" w:themeColor="text1"/>
                                <w:kern w:val="24"/>
                                <w:szCs w:val="56"/>
                              </w:rPr>
                              <w:t xml:space="preserve"> oli alle 3 prosenttia, taidelaitosten osuus 2,4 prosenttia ja</w:t>
                            </w:r>
                            <w:r w:rsidR="00F360D9">
                              <w:rPr>
                                <w:rFonts w:hAnsi="Calibri"/>
                                <w:color w:val="000000" w:themeColor="text1"/>
                                <w:kern w:val="24"/>
                                <w:szCs w:val="56"/>
                              </w:rPr>
                              <w:t xml:space="preserve"> muun kulttuuritoimen osuus 1 prosenttia opetus- ja kulttuuritoimen käyttömenoista</w:t>
                            </w:r>
                            <w:r w:rsidRPr="002B3365">
                              <w:rPr>
                                <w:rFonts w:hAnsi="Calibri"/>
                                <w:color w:val="000000" w:themeColor="text1"/>
                                <w:kern w:val="24"/>
                                <w:szCs w:val="56"/>
                              </w:rPr>
                              <w:t xml:space="preserve">. Taiteen </w:t>
                            </w:r>
                            <w:r w:rsidRPr="002B3365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perusopetus ja muu opetus </w:t>
                            </w:r>
                            <w:r w:rsidR="003A322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esiintyivät</w:t>
                            </w:r>
                            <w:r w:rsidRPr="002B3365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myö</w:t>
                            </w:r>
                            <w:r w:rsidR="003A322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s noin 1 prosentin osuudella</w:t>
                            </w:r>
                            <w:r w:rsidRPr="002B3365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:rsidR="00B730EE" w:rsidRDefault="00B730EE" w:rsidP="00F360D9">
                            <w:pPr>
                              <w:spacing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B730EE" w:rsidRDefault="00B730EE" w:rsidP="00F360D9">
                            <w:pPr>
                              <w:spacing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B730EE" w:rsidRDefault="00B730EE" w:rsidP="00F360D9">
                            <w:pPr>
                              <w:spacing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B730EE" w:rsidRDefault="00B730EE" w:rsidP="00F360D9">
                            <w:pPr>
                              <w:spacing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B730EE" w:rsidRPr="002B3365" w:rsidRDefault="00B730EE" w:rsidP="00F360D9">
                            <w:pPr>
                              <w:spacing w:line="216" w:lineRule="auto"/>
                              <w:rPr>
                                <w:rFonts w:eastAsia="Times New Roman"/>
                              </w:rPr>
                            </w:pPr>
                          </w:p>
                          <w:p w:rsidR="002B3365" w:rsidRDefault="002B3365" w:rsidP="00F360D9">
                            <w:pPr>
                              <w:spacing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2B3365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Nuorisotoimen sekä kansalaisopistojen ja muun vapaan sivistystyön osuudet </w:t>
                            </w:r>
                            <w:r w:rsidR="00F360D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olivat</w:t>
                            </w:r>
                            <w:r w:rsidRPr="002B3365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noin 1,5 prosenttiin kokonaiskustannuksista. </w:t>
                            </w:r>
                          </w:p>
                          <w:p w:rsidR="00AE7206" w:rsidRDefault="00AE7206" w:rsidP="00F360D9">
                            <w:pPr>
                              <w:spacing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C345B7" w:rsidRDefault="00C345B7" w:rsidP="00F360D9">
                            <w:pPr>
                              <w:spacing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C345B7" w:rsidRDefault="00C345B7" w:rsidP="00F360D9">
                            <w:pPr>
                              <w:spacing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C345B7" w:rsidRPr="002B3365" w:rsidRDefault="00C345B7" w:rsidP="00F360D9">
                            <w:pPr>
                              <w:spacing w:line="216" w:lineRule="auto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A0E50" id="Sisällön paikkamerkki 2" o:spid="_x0000_s1026" style="position:absolute;margin-left:5.45pt;margin-top:16.55pt;width:493.35pt;height:2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9B26B4" w:rsidRPr="009B26B4" w:rsidRDefault="009B26B4" w:rsidP="00074DF6">
                      <w:pPr>
                        <w:spacing w:line="216" w:lineRule="auto"/>
                        <w:rPr>
                          <w:rFonts w:hAnsi="Calibri"/>
                          <w:b/>
                          <w:color w:val="000000" w:themeColor="text1"/>
                          <w:kern w:val="24"/>
                          <w:sz w:val="32"/>
                          <w:szCs w:val="56"/>
                        </w:rPr>
                      </w:pPr>
                      <w:r w:rsidRPr="009B26B4">
                        <w:rPr>
                          <w:rFonts w:hAnsi="Calibri"/>
                          <w:b/>
                          <w:color w:val="000000" w:themeColor="text1"/>
                          <w:kern w:val="24"/>
                          <w:sz w:val="32"/>
                          <w:szCs w:val="56"/>
                        </w:rPr>
                        <w:t>OPETUS- JA KULTTUURITOIMEN K</w:t>
                      </w:r>
                      <w:r w:rsidR="00B730EE">
                        <w:rPr>
                          <w:rFonts w:hAnsi="Calibri"/>
                          <w:b/>
                          <w:color w:val="000000" w:themeColor="text1"/>
                          <w:kern w:val="24"/>
                          <w:sz w:val="32"/>
                          <w:szCs w:val="56"/>
                        </w:rPr>
                        <w:t>ÄYTTÖK</w:t>
                      </w:r>
                      <w:r w:rsidRPr="009B26B4">
                        <w:rPr>
                          <w:rFonts w:hAnsi="Calibri"/>
                          <w:b/>
                          <w:color w:val="000000" w:themeColor="text1"/>
                          <w:kern w:val="24"/>
                          <w:sz w:val="32"/>
                          <w:szCs w:val="56"/>
                        </w:rPr>
                        <w:t xml:space="preserve">USTANNUKSET </w:t>
                      </w:r>
                    </w:p>
                    <w:p w:rsidR="009B26B4" w:rsidRDefault="009B26B4" w:rsidP="00074DF6">
                      <w:pPr>
                        <w:spacing w:line="216" w:lineRule="auto"/>
                        <w:rPr>
                          <w:rFonts w:hAnsi="Calibri"/>
                          <w:color w:val="000000" w:themeColor="text1"/>
                          <w:kern w:val="24"/>
                          <w:szCs w:val="56"/>
                        </w:rPr>
                      </w:pPr>
                    </w:p>
                    <w:p w:rsidR="00074DF6" w:rsidRDefault="00074DF6" w:rsidP="00074DF6">
                      <w:pPr>
                        <w:spacing w:line="216" w:lineRule="auto"/>
                        <w:rPr>
                          <w:rFonts w:eastAsia="Times New Roman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Cs w:val="56"/>
                        </w:rPr>
                        <w:t>Kuntien ja kuntayhtymien opetus- ja kulttuuritoimen käyttökustannukset olivat vuonna 2016 kaikkiaan 12,78 miljardia euroa. Tästä p</w:t>
                      </w:r>
                      <w:r w:rsidR="002B3365" w:rsidRPr="002B3365">
                        <w:rPr>
                          <w:rFonts w:hAnsi="Calibri"/>
                          <w:color w:val="000000" w:themeColor="text1"/>
                          <w:kern w:val="24"/>
                          <w:szCs w:val="56"/>
                        </w:rPr>
                        <w:t>erusopetuksen käyttökustannukset opetus- ja kulttuuritoimen vuoden 2016 käyttökustannuksista olivat noin 40 prosenttia.</w:t>
                      </w:r>
                      <w:r w:rsidR="009D5B07">
                        <w:rPr>
                          <w:rFonts w:eastAsia="Times New Roman"/>
                          <w:szCs w:val="24"/>
                        </w:rPr>
                        <w:t xml:space="preserve"> </w:t>
                      </w:r>
                      <w:r w:rsidR="002B3365" w:rsidRPr="002B3365">
                        <w:rPr>
                          <w:rFonts w:hAnsi="Calibri"/>
                          <w:color w:val="000000" w:themeColor="text1"/>
                          <w:kern w:val="24"/>
                          <w:szCs w:val="56"/>
                        </w:rPr>
                        <w:t>Esiopetuksen osuus oli noin 3 prosenttia ja varhaiskasvatuksen osuus noin 24 prosenttia.</w:t>
                      </w:r>
                    </w:p>
                    <w:p w:rsidR="002B3365" w:rsidRPr="00F360D9" w:rsidRDefault="002B3365" w:rsidP="00F360D9">
                      <w:pPr>
                        <w:spacing w:line="216" w:lineRule="auto"/>
                        <w:rPr>
                          <w:rFonts w:eastAsia="Times New Roman"/>
                          <w:szCs w:val="24"/>
                        </w:rPr>
                      </w:pPr>
                      <w:r w:rsidRPr="002B3365">
                        <w:rPr>
                          <w:rFonts w:hAnsi="Calibri"/>
                          <w:color w:val="000000" w:themeColor="text1"/>
                          <w:kern w:val="24"/>
                          <w:szCs w:val="56"/>
                        </w:rPr>
                        <w:t>Ammatillisen koulutuksen käyttökustannusten osuus oli noin 12 prosenttia</w:t>
                      </w:r>
                      <w:r w:rsidR="00F360D9">
                        <w:rPr>
                          <w:rFonts w:hAnsi="Calibri"/>
                          <w:color w:val="000000" w:themeColor="text1"/>
                          <w:kern w:val="24"/>
                          <w:szCs w:val="56"/>
                        </w:rPr>
                        <w:t xml:space="preserve">, kun taas </w:t>
                      </w:r>
                      <w:r w:rsidRPr="002B3365">
                        <w:rPr>
                          <w:rFonts w:hAnsi="Calibri"/>
                          <w:color w:val="000000" w:themeColor="text1"/>
                          <w:kern w:val="24"/>
                          <w:szCs w:val="56"/>
                        </w:rPr>
                        <w:t xml:space="preserve">lukiokoulutuksen </w:t>
                      </w:r>
                      <w:r w:rsidR="00F360D9">
                        <w:rPr>
                          <w:rFonts w:hAnsi="Calibri"/>
                          <w:color w:val="000000" w:themeColor="text1"/>
                          <w:kern w:val="24"/>
                          <w:szCs w:val="56"/>
                        </w:rPr>
                        <w:t xml:space="preserve">ja myös liikunnan ja ulkoilun </w:t>
                      </w:r>
                      <w:r w:rsidRPr="002B3365">
                        <w:rPr>
                          <w:rFonts w:hAnsi="Calibri"/>
                          <w:color w:val="000000" w:themeColor="text1"/>
                          <w:kern w:val="24"/>
                          <w:szCs w:val="56"/>
                        </w:rPr>
                        <w:t>käyttö</w:t>
                      </w:r>
                      <w:r w:rsidR="00DA216A">
                        <w:rPr>
                          <w:rFonts w:hAnsi="Calibri"/>
                          <w:color w:val="000000" w:themeColor="text1"/>
                          <w:kern w:val="24"/>
                          <w:szCs w:val="56"/>
                        </w:rPr>
                        <w:t>menojen osuu</w:t>
                      </w:r>
                      <w:r w:rsidR="00F360D9">
                        <w:rPr>
                          <w:rFonts w:hAnsi="Calibri"/>
                          <w:color w:val="000000" w:themeColor="text1"/>
                          <w:kern w:val="24"/>
                          <w:szCs w:val="56"/>
                        </w:rPr>
                        <w:t>det</w:t>
                      </w:r>
                      <w:r w:rsidRPr="002B3365">
                        <w:rPr>
                          <w:rFonts w:hAnsi="Calibri"/>
                          <w:color w:val="000000" w:themeColor="text1"/>
                          <w:kern w:val="24"/>
                          <w:szCs w:val="56"/>
                        </w:rPr>
                        <w:t xml:space="preserve"> olivat lähes yhtä suuret, alle 6 prosenttia. </w:t>
                      </w:r>
                    </w:p>
                    <w:p w:rsidR="002B3365" w:rsidRDefault="002B3365" w:rsidP="00F360D9">
                      <w:pPr>
                        <w:spacing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B3365">
                        <w:rPr>
                          <w:rFonts w:hAnsi="Calibri"/>
                          <w:color w:val="000000" w:themeColor="text1"/>
                          <w:kern w:val="24"/>
                          <w:szCs w:val="56"/>
                        </w:rPr>
                        <w:t>Kirjastojen osuus</w:t>
                      </w:r>
                      <w:r w:rsidR="00F360D9">
                        <w:rPr>
                          <w:rFonts w:hAnsi="Calibri"/>
                          <w:color w:val="000000" w:themeColor="text1"/>
                          <w:kern w:val="24"/>
                          <w:szCs w:val="56"/>
                        </w:rPr>
                        <w:t xml:space="preserve"> käyttömenoista</w:t>
                      </w:r>
                      <w:r w:rsidRPr="002B3365">
                        <w:rPr>
                          <w:rFonts w:hAnsi="Calibri"/>
                          <w:color w:val="000000" w:themeColor="text1"/>
                          <w:kern w:val="24"/>
                          <w:szCs w:val="56"/>
                        </w:rPr>
                        <w:t xml:space="preserve"> oli alle 3 prosenttia, taidelaitosten osuus 2,4 prosenttia ja</w:t>
                      </w:r>
                      <w:r w:rsidR="00F360D9">
                        <w:rPr>
                          <w:rFonts w:hAnsi="Calibri"/>
                          <w:color w:val="000000" w:themeColor="text1"/>
                          <w:kern w:val="24"/>
                          <w:szCs w:val="56"/>
                        </w:rPr>
                        <w:t xml:space="preserve"> muun kulttuuritoimen osuus 1 prosenttia opetus- ja kulttuuritoimen käyttömenoista</w:t>
                      </w:r>
                      <w:r w:rsidRPr="002B3365">
                        <w:rPr>
                          <w:rFonts w:hAnsi="Calibri"/>
                          <w:color w:val="000000" w:themeColor="text1"/>
                          <w:kern w:val="24"/>
                          <w:szCs w:val="56"/>
                        </w:rPr>
                        <w:t xml:space="preserve">. Taiteen </w:t>
                      </w:r>
                      <w:r w:rsidRPr="002B3365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perusopetus ja muu opetus </w:t>
                      </w:r>
                      <w:r w:rsidR="003A3220">
                        <w:rPr>
                          <w:rFonts w:hAnsi="Calibri"/>
                          <w:color w:val="000000" w:themeColor="text1"/>
                          <w:kern w:val="24"/>
                        </w:rPr>
                        <w:t>esiintyivät</w:t>
                      </w:r>
                      <w:r w:rsidRPr="002B3365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myö</w:t>
                      </w:r>
                      <w:r w:rsidR="003A3220">
                        <w:rPr>
                          <w:rFonts w:hAnsi="Calibri"/>
                          <w:color w:val="000000" w:themeColor="text1"/>
                          <w:kern w:val="24"/>
                        </w:rPr>
                        <w:t>s noin 1 prosentin osuudella</w:t>
                      </w:r>
                      <w:r w:rsidRPr="002B3365">
                        <w:rPr>
                          <w:rFonts w:hAnsi="Calibri"/>
                          <w:color w:val="000000" w:themeColor="text1"/>
                          <w:kern w:val="24"/>
                        </w:rPr>
                        <w:t>.</w:t>
                      </w:r>
                    </w:p>
                    <w:p w:rsidR="00B730EE" w:rsidRDefault="00B730EE" w:rsidP="00F360D9">
                      <w:pPr>
                        <w:spacing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</w:p>
                    <w:p w:rsidR="00B730EE" w:rsidRDefault="00B730EE" w:rsidP="00F360D9">
                      <w:pPr>
                        <w:spacing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</w:p>
                    <w:p w:rsidR="00B730EE" w:rsidRDefault="00B730EE" w:rsidP="00F360D9">
                      <w:pPr>
                        <w:spacing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</w:p>
                    <w:p w:rsidR="00B730EE" w:rsidRDefault="00B730EE" w:rsidP="00F360D9">
                      <w:pPr>
                        <w:spacing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</w:p>
                    <w:p w:rsidR="00B730EE" w:rsidRPr="002B3365" w:rsidRDefault="00B730EE" w:rsidP="00F360D9">
                      <w:pPr>
                        <w:spacing w:line="216" w:lineRule="auto"/>
                        <w:rPr>
                          <w:rFonts w:eastAsia="Times New Roman"/>
                        </w:rPr>
                      </w:pPr>
                    </w:p>
                    <w:p w:rsidR="002B3365" w:rsidRDefault="002B3365" w:rsidP="00F360D9">
                      <w:pPr>
                        <w:spacing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2B3365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Nuorisotoimen sekä kansalaisopistojen ja muun vapaan sivistystyön osuudet </w:t>
                      </w:r>
                      <w:r w:rsidR="00F360D9">
                        <w:rPr>
                          <w:rFonts w:hAnsi="Calibri"/>
                          <w:color w:val="000000" w:themeColor="text1"/>
                          <w:kern w:val="24"/>
                        </w:rPr>
                        <w:t>olivat</w:t>
                      </w:r>
                      <w:r w:rsidRPr="002B3365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noin 1,5 prosenttiin kokonaiskustannuksista. </w:t>
                      </w:r>
                    </w:p>
                    <w:p w:rsidR="00AE7206" w:rsidRDefault="00AE7206" w:rsidP="00F360D9">
                      <w:pPr>
                        <w:spacing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</w:p>
                    <w:p w:rsidR="00C345B7" w:rsidRDefault="00C345B7" w:rsidP="00F360D9">
                      <w:pPr>
                        <w:spacing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</w:p>
                    <w:p w:rsidR="00C345B7" w:rsidRDefault="00C345B7" w:rsidP="00F360D9">
                      <w:pPr>
                        <w:spacing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</w:p>
                    <w:p w:rsidR="00C345B7" w:rsidRPr="002B3365" w:rsidRDefault="00C345B7" w:rsidP="00F360D9">
                      <w:pPr>
                        <w:spacing w:line="216" w:lineRule="auto"/>
                        <w:rPr>
                          <w:rFonts w:eastAsia="Times New Roman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EB7A03">
        <w:tab/>
      </w:r>
      <w:r w:rsidR="00EB7A03">
        <w:tab/>
      </w:r>
      <w:r w:rsidR="00EB7A03">
        <w:tab/>
      </w:r>
      <w:r w:rsidR="00EB7A03">
        <w:tab/>
      </w:r>
      <w:r w:rsidR="00EB7A03">
        <w:tab/>
      </w:r>
      <w:r w:rsidR="00EB7A03">
        <w:tab/>
      </w:r>
      <w:r w:rsidR="00EB7A03">
        <w:tab/>
      </w:r>
      <w:bookmarkStart w:id="0" w:name="_GoBack"/>
      <w:bookmarkEnd w:id="0"/>
      <w:r w:rsidR="00EB7A03">
        <w:tab/>
      </w:r>
      <w:r w:rsidR="00EB7A03">
        <w:tab/>
      </w:r>
      <w:r w:rsidR="00EB7A03">
        <w:tab/>
      </w:r>
      <w:r w:rsidR="00EB7A03">
        <w:tab/>
      </w:r>
    </w:p>
    <w:p w:rsidR="007F5115" w:rsidRDefault="00A76651" w:rsidP="00B730EE">
      <w:r>
        <w:rPr>
          <w:noProof/>
          <w:lang w:eastAsia="fi-FI"/>
        </w:rPr>
        <w:lastRenderedPageBreak/>
        <w:drawing>
          <wp:anchor distT="0" distB="0" distL="114300" distR="114300" simplePos="0" relativeHeight="251663360" behindDoc="0" locked="0" layoutInCell="1" allowOverlap="1" wp14:anchorId="7F4DDF30" wp14:editId="69783E27">
            <wp:simplePos x="0" y="0"/>
            <wp:positionH relativeFrom="margin">
              <wp:posOffset>890451</wp:posOffset>
            </wp:positionH>
            <wp:positionV relativeFrom="paragraph">
              <wp:posOffset>3206065</wp:posOffset>
            </wp:positionV>
            <wp:extent cx="4536504" cy="1374140"/>
            <wp:effectExtent l="0" t="0" r="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6504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2CCD">
        <w:rPr>
          <w:noProof/>
          <w:lang w:eastAsia="fi-FI"/>
        </w:rPr>
        <w:drawing>
          <wp:inline distT="0" distB="0" distL="0" distR="0" wp14:anchorId="2DBC127F" wp14:editId="2BC200B1">
            <wp:extent cx="6120130" cy="2846070"/>
            <wp:effectExtent l="0" t="0" r="13970" b="11430"/>
            <wp:docPr id="1" name="Kaavi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  <w:r w:rsidR="00B730EE">
        <w:tab/>
      </w:r>
    </w:p>
    <w:p w:rsidR="00B730EE" w:rsidRDefault="00B730EE" w:rsidP="00B730EE">
      <w:r>
        <w:t xml:space="preserve">Opetushallituksen vuoden 2015 kustannusraporttien mukaan perusopetuksen käyttökustannukset oppilasta kohti olivat 8 956 euroa ja lukiokoulutuksen käyttökustannukset 7 749 euroa opiskelijaa kohti. Ammatillisen peruskoulutuksen käyttökustannukset olivat 11 503 euroa opiskelijaa kohti. </w:t>
      </w:r>
    </w:p>
    <w:p w:rsidR="00B730EE" w:rsidRDefault="00B730EE" w:rsidP="00B730EE"/>
    <w:p w:rsidR="00B730EE" w:rsidRDefault="00B730EE" w:rsidP="00B730EE"/>
    <w:p w:rsidR="00B730EE" w:rsidRDefault="00B730EE" w:rsidP="00B730EE"/>
    <w:sectPr w:rsidR="00B730E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07D" w:rsidRDefault="0065507D" w:rsidP="009B26B4">
      <w:pPr>
        <w:spacing w:after="0" w:line="240" w:lineRule="auto"/>
      </w:pPr>
      <w:r>
        <w:separator/>
      </w:r>
    </w:p>
  </w:endnote>
  <w:endnote w:type="continuationSeparator" w:id="0">
    <w:p w:rsidR="0065507D" w:rsidRDefault="0065507D" w:rsidP="009B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07D" w:rsidRDefault="0065507D" w:rsidP="009B26B4">
      <w:pPr>
        <w:spacing w:after="0" w:line="240" w:lineRule="auto"/>
      </w:pPr>
      <w:r>
        <w:separator/>
      </w:r>
    </w:p>
  </w:footnote>
  <w:footnote w:type="continuationSeparator" w:id="0">
    <w:p w:rsidR="0065507D" w:rsidRDefault="0065507D" w:rsidP="009B2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E54BA"/>
    <w:multiLevelType w:val="hybridMultilevel"/>
    <w:tmpl w:val="64B255C4"/>
    <w:lvl w:ilvl="0" w:tplc="D8EA2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727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E27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E65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C4A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18A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8A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26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5CB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65"/>
    <w:rsid w:val="00074DF6"/>
    <w:rsid w:val="002B3365"/>
    <w:rsid w:val="002F491C"/>
    <w:rsid w:val="00305EDF"/>
    <w:rsid w:val="00386485"/>
    <w:rsid w:val="003A3220"/>
    <w:rsid w:val="0065507D"/>
    <w:rsid w:val="007923FE"/>
    <w:rsid w:val="007F5115"/>
    <w:rsid w:val="00977267"/>
    <w:rsid w:val="009B26B4"/>
    <w:rsid w:val="009D5B07"/>
    <w:rsid w:val="00A76651"/>
    <w:rsid w:val="00AE7206"/>
    <w:rsid w:val="00B32CCD"/>
    <w:rsid w:val="00B730EE"/>
    <w:rsid w:val="00C345B7"/>
    <w:rsid w:val="00DA216A"/>
    <w:rsid w:val="00EB7A03"/>
    <w:rsid w:val="00F3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FA7C8"/>
  <w15:chartTrackingRefBased/>
  <w15:docId w15:val="{6C4DA075-78B4-47A5-A18E-266D6525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2B33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2B336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9B26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B26B4"/>
  </w:style>
  <w:style w:type="paragraph" w:styleId="Alatunniste">
    <w:name w:val="footer"/>
    <w:basedOn w:val="Normaali"/>
    <w:link w:val="AlatunnisteChar"/>
    <w:uiPriority w:val="99"/>
    <w:unhideWhenUsed/>
    <w:rsid w:val="009B26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B2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kumimoji="0" lang="fi-FI" sz="1400" b="1" i="0" u="none" strike="noStrike" kern="1200" cap="none" spc="0" normalizeH="0" baseline="0" noProof="0" dirty="0">
                <a:ln>
                  <a:noFill/>
                </a:ln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uLnTx/>
                <a:uFillTx/>
                <a:latin typeface="Calibri" panose="020F0502020204030204"/>
              </a:rPr>
              <a:t>Oppilas-/opiskelijakohtaiset käyttökustannukset 2015</a:t>
            </a:r>
            <a:r>
              <a:rPr kumimoji="0" lang="fi-FI" sz="1400" b="1" i="0" u="none" strike="noStrike" kern="1200" cap="none" spc="0" normalizeH="0" baseline="0" noProof="0" dirty="0" smtClean="0">
                <a:ln>
                  <a:noFill/>
                </a:ln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uLnTx/>
                <a:uFillTx/>
                <a:latin typeface="Calibri" panose="020F0502020204030204"/>
              </a:rPr>
              <a:t>. Manner-Suomi. €. (Lähde: Opetushallitus, oph.fi)</a:t>
            </a:r>
            <a:endParaRPr kumimoji="0" lang="fi-FI" sz="1400" b="1" i="0" u="none" strike="noStrike" kern="1200" cap="none" spc="0" normalizeH="0" baseline="0" noProof="0" dirty="0">
              <a:ln>
                <a:noFill/>
              </a:ln>
              <a:solidFill>
                <a:sysClr val="windowText" lastClr="000000">
                  <a:lumMod val="65000"/>
                  <a:lumOff val="35000"/>
                </a:sysClr>
              </a:solidFill>
              <a:effectLst/>
              <a:uLnTx/>
              <a:uFillTx/>
              <a:latin typeface="Calibri" panose="020F0502020204030204"/>
            </a:endParaRPr>
          </a:p>
        </c:rich>
      </c:tx>
      <c:layout>
        <c:manualLayout>
          <c:xMode val="edge"/>
          <c:yMode val="edge"/>
          <c:x val="0.10221563921027819"/>
          <c:y val="4.480775244459903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i-FI"/>
        </a:p>
      </c:txPr>
    </c:title>
    <c:autoTitleDeleted val="0"/>
    <c:plotArea>
      <c:layout>
        <c:manualLayout>
          <c:layoutTarget val="inner"/>
          <c:xMode val="edge"/>
          <c:yMode val="edge"/>
          <c:x val="8.1312670685169341E-2"/>
          <c:y val="0.18558458782357515"/>
          <c:w val="0.90023007779497366"/>
          <c:h val="0.734175022219753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Taul1!$C$2</c:f>
              <c:strCache>
                <c:ptCount val="1"/>
                <c:pt idx="0">
                  <c:v>Euroa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4.1016114488571041E-3"/>
                  <c:y val="0.154323130763248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8BB-431D-8E7E-1BC28CDB0218}"/>
                </c:ext>
              </c:extLst>
            </c:dLbl>
            <c:dLbl>
              <c:idx val="1"/>
              <c:layout>
                <c:manualLayout>
                  <c:x val="-2.050805724428552E-3"/>
                  <c:y val="0.141095433840684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8BB-431D-8E7E-1BC28CDB0218}"/>
                </c:ext>
              </c:extLst>
            </c:dLbl>
            <c:dLbl>
              <c:idx val="2"/>
              <c:layout>
                <c:manualLayout>
                  <c:x val="4.1016114488571041E-3"/>
                  <c:y val="0.141095433840684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8BB-431D-8E7E-1BC28CDB02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i-F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Taul1!$A$3:$A$5</c:f>
              <c:strCache>
                <c:ptCount val="3"/>
                <c:pt idx="0">
                  <c:v>Perusopetus</c:v>
                </c:pt>
                <c:pt idx="1">
                  <c:v>Lukiokoulutus</c:v>
                </c:pt>
                <c:pt idx="2">
                  <c:v>Ammatillinen peruskoulutus</c:v>
                </c:pt>
              </c:strCache>
            </c:strRef>
          </c:cat>
          <c:val>
            <c:numRef>
              <c:f>Taul1!$C$3:$C$5</c:f>
              <c:numCache>
                <c:formatCode>General</c:formatCode>
                <c:ptCount val="3"/>
                <c:pt idx="0">
                  <c:v>8956</c:v>
                </c:pt>
                <c:pt idx="1">
                  <c:v>7749</c:v>
                </c:pt>
                <c:pt idx="2">
                  <c:v>11503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8BB-431D-8E7E-1BC28CDB02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547519968"/>
        <c:axId val="547528704"/>
      </c:barChart>
      <c:catAx>
        <c:axId val="547519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i-FI"/>
          </a:p>
        </c:txPr>
        <c:crossAx val="547528704"/>
        <c:crosses val="autoZero"/>
        <c:auto val="1"/>
        <c:lblAlgn val="ctr"/>
        <c:lblOffset val="100"/>
        <c:noMultiLvlLbl val="0"/>
      </c:catAx>
      <c:valAx>
        <c:axId val="547528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i-FI"/>
          </a:p>
        </c:txPr>
        <c:crossAx val="547519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i-FI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KL-FCG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Väisänen-Haapanen Päivi</dc:creator>
  <cp:keywords/>
  <dc:description/>
  <cp:lastModifiedBy>Väisänen-Haapanen Päivi</cp:lastModifiedBy>
  <cp:revision>2</cp:revision>
  <dcterms:created xsi:type="dcterms:W3CDTF">2017-11-20T13:11:00Z</dcterms:created>
  <dcterms:modified xsi:type="dcterms:W3CDTF">2017-11-20T13:11:00Z</dcterms:modified>
</cp:coreProperties>
</file>