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63" w:rsidRPr="00DE4B63" w:rsidRDefault="00E13037">
      <w:pPr>
        <w:rPr>
          <w:rFonts w:ascii="Arial" w:hAnsi="Arial" w:cs="Arial"/>
          <w:b/>
          <w:u w:val="single"/>
        </w:rPr>
      </w:pPr>
      <w:r w:rsidRPr="00823916">
        <w:rPr>
          <w:rFonts w:ascii="Arial" w:hAnsi="Arial" w:cs="Arial"/>
          <w:b/>
          <w:sz w:val="24"/>
          <w:szCs w:val="24"/>
          <w:u w:val="single"/>
        </w:rPr>
        <w:t>KUJA-</w:t>
      </w:r>
      <w:r w:rsidR="00675B3E" w:rsidRPr="00823916">
        <w:rPr>
          <w:rFonts w:ascii="Arial" w:hAnsi="Arial" w:cs="Arial"/>
          <w:b/>
          <w:sz w:val="24"/>
          <w:szCs w:val="24"/>
          <w:u w:val="single"/>
        </w:rPr>
        <w:t>PIKATESTI</w:t>
      </w:r>
      <w:r w:rsidR="00DE4B63" w:rsidRPr="0082391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24E92" w:rsidRPr="00823916">
        <w:rPr>
          <w:rFonts w:ascii="Arial" w:hAnsi="Arial" w:cs="Arial"/>
          <w:b/>
          <w:sz w:val="24"/>
          <w:szCs w:val="24"/>
        </w:rPr>
        <w:t xml:space="preserve"> </w:t>
      </w:r>
      <w:r w:rsidR="00B24E92" w:rsidRPr="00B24E92">
        <w:rPr>
          <w:rFonts w:ascii="Arial" w:hAnsi="Arial" w:cs="Arial"/>
          <w:b/>
        </w:rPr>
        <w:t xml:space="preserve">             </w:t>
      </w:r>
      <w:r w:rsidR="008E40E2">
        <w:rPr>
          <w:rFonts w:ascii="Arial" w:hAnsi="Arial" w:cs="Arial"/>
          <w:b/>
        </w:rPr>
        <w:t xml:space="preserve">VARAUTUMISEN JA </w:t>
      </w:r>
      <w:r w:rsidR="00E23469" w:rsidRPr="00DE4B63">
        <w:rPr>
          <w:rFonts w:ascii="Arial" w:hAnsi="Arial" w:cs="Arial"/>
          <w:b/>
        </w:rPr>
        <w:t>JATKUVUUDENHALLINNAN KEHITTÄMISTOIMENPITEIDEN TARPEELLISUUDEN ARVIOINTI</w:t>
      </w:r>
    </w:p>
    <w:p w:rsidR="00DE4B63" w:rsidRDefault="00DE4B63">
      <w:pPr>
        <w:rPr>
          <w:rFonts w:ascii="Arial" w:hAnsi="Arial" w:cs="Arial"/>
          <w:b/>
        </w:rPr>
      </w:pPr>
    </w:p>
    <w:p w:rsidR="00B840C4" w:rsidRPr="00B840C4" w:rsidRDefault="00E23469">
      <w:pPr>
        <w:rPr>
          <w:rFonts w:ascii="Arial" w:hAnsi="Arial" w:cs="Arial"/>
          <w:sz w:val="20"/>
          <w:szCs w:val="20"/>
        </w:rPr>
      </w:pPr>
      <w:r w:rsidRPr="00B840C4">
        <w:rPr>
          <w:rFonts w:ascii="Arial" w:hAnsi="Arial" w:cs="Arial"/>
          <w:sz w:val="20"/>
          <w:szCs w:val="20"/>
        </w:rPr>
        <w:t>Täl</w:t>
      </w:r>
      <w:r w:rsidR="00B840C4">
        <w:rPr>
          <w:rFonts w:ascii="Arial" w:hAnsi="Arial" w:cs="Arial"/>
          <w:sz w:val="20"/>
          <w:szCs w:val="20"/>
        </w:rPr>
        <w:t>lä pikatestillä voitte kartoittaa</w:t>
      </w:r>
      <w:r w:rsidR="008E40E2" w:rsidRPr="00B840C4">
        <w:rPr>
          <w:rFonts w:ascii="Arial" w:hAnsi="Arial" w:cs="Arial"/>
          <w:sz w:val="20"/>
          <w:szCs w:val="20"/>
        </w:rPr>
        <w:t xml:space="preserve"> varautumisen ja</w:t>
      </w:r>
      <w:r w:rsidRPr="00B840C4">
        <w:rPr>
          <w:rFonts w:ascii="Arial" w:hAnsi="Arial" w:cs="Arial"/>
          <w:sz w:val="20"/>
          <w:szCs w:val="20"/>
        </w:rPr>
        <w:t xml:space="preserve"> jatkuvuudenhallinnan </w:t>
      </w:r>
      <w:r w:rsidR="00B840C4">
        <w:rPr>
          <w:rFonts w:ascii="Arial" w:hAnsi="Arial" w:cs="Arial"/>
          <w:sz w:val="20"/>
          <w:szCs w:val="20"/>
        </w:rPr>
        <w:t xml:space="preserve">tasoa sekä </w:t>
      </w:r>
      <w:r w:rsidRPr="00B840C4">
        <w:rPr>
          <w:rFonts w:ascii="Arial" w:hAnsi="Arial" w:cs="Arial"/>
          <w:sz w:val="20"/>
          <w:szCs w:val="20"/>
        </w:rPr>
        <w:t>kehittämistoimenpiteiden tarp</w:t>
      </w:r>
      <w:r w:rsidR="00675B3E" w:rsidRPr="00B840C4">
        <w:rPr>
          <w:rFonts w:ascii="Arial" w:hAnsi="Arial" w:cs="Arial"/>
          <w:sz w:val="20"/>
          <w:szCs w:val="20"/>
        </w:rPr>
        <w:t>eellisuutta organisaatiossanne</w:t>
      </w:r>
      <w:r w:rsidRPr="00B840C4">
        <w:rPr>
          <w:rFonts w:ascii="Arial" w:hAnsi="Arial" w:cs="Arial"/>
          <w:sz w:val="20"/>
          <w:szCs w:val="20"/>
        </w:rPr>
        <w:t>.</w:t>
      </w:r>
    </w:p>
    <w:tbl>
      <w:tblPr>
        <w:tblStyle w:val="TaulukkoRuudukko"/>
        <w:tblW w:w="15444" w:type="dxa"/>
        <w:tblInd w:w="170" w:type="dxa"/>
        <w:tblLook w:val="04A0" w:firstRow="1" w:lastRow="0" w:firstColumn="1" w:lastColumn="0" w:noHBand="0" w:noVBand="1"/>
      </w:tblPr>
      <w:tblGrid>
        <w:gridCol w:w="656"/>
        <w:gridCol w:w="7216"/>
        <w:gridCol w:w="1250"/>
        <w:gridCol w:w="1306"/>
        <w:gridCol w:w="1276"/>
        <w:gridCol w:w="3740"/>
      </w:tblGrid>
      <w:tr w:rsidR="00E23469" w:rsidRPr="00E23469" w:rsidTr="00DE4B63">
        <w:tc>
          <w:tcPr>
            <w:tcW w:w="656" w:type="dxa"/>
            <w:vMerge w:val="restart"/>
            <w:shd w:val="clear" w:color="auto" w:fill="88E4FF" w:themeFill="accent2" w:themeFillTint="66"/>
          </w:tcPr>
          <w:p w:rsidR="00E23469" w:rsidRPr="00DE13A8" w:rsidRDefault="00E23469" w:rsidP="00E234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13A8">
              <w:rPr>
                <w:rFonts w:ascii="Arial" w:hAnsi="Arial" w:cs="Arial"/>
                <w:b/>
                <w:sz w:val="20"/>
                <w:szCs w:val="20"/>
              </w:rPr>
              <w:t>Nro.</w:t>
            </w:r>
          </w:p>
        </w:tc>
        <w:tc>
          <w:tcPr>
            <w:tcW w:w="7216" w:type="dxa"/>
            <w:vMerge w:val="restart"/>
            <w:shd w:val="clear" w:color="auto" w:fill="88E4FF" w:themeFill="accent2" w:themeFillTint="66"/>
          </w:tcPr>
          <w:p w:rsidR="00E23469" w:rsidRPr="00DE13A8" w:rsidRDefault="00E23469" w:rsidP="00E234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13A8">
              <w:rPr>
                <w:rFonts w:ascii="Arial" w:hAnsi="Arial" w:cs="Arial"/>
                <w:b/>
                <w:sz w:val="20"/>
                <w:szCs w:val="20"/>
              </w:rPr>
              <w:t>Arviointikysymys</w:t>
            </w:r>
          </w:p>
        </w:tc>
        <w:tc>
          <w:tcPr>
            <w:tcW w:w="3832" w:type="dxa"/>
            <w:gridSpan w:val="3"/>
            <w:shd w:val="clear" w:color="auto" w:fill="88E4FF" w:themeFill="accent2" w:themeFillTint="66"/>
          </w:tcPr>
          <w:p w:rsidR="00E23469" w:rsidRPr="00DE13A8" w:rsidRDefault="00E23469" w:rsidP="00E234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A8">
              <w:rPr>
                <w:rFonts w:ascii="Arial" w:hAnsi="Arial" w:cs="Arial"/>
                <w:b/>
                <w:sz w:val="20"/>
                <w:szCs w:val="20"/>
              </w:rPr>
              <w:t>Arvio nykytilasta</w:t>
            </w:r>
          </w:p>
        </w:tc>
        <w:tc>
          <w:tcPr>
            <w:tcW w:w="3740" w:type="dxa"/>
            <w:vMerge w:val="restart"/>
            <w:shd w:val="clear" w:color="auto" w:fill="88E4FF" w:themeFill="accent2" w:themeFillTint="66"/>
          </w:tcPr>
          <w:p w:rsidR="00E23469" w:rsidRPr="00DE13A8" w:rsidRDefault="00E23469" w:rsidP="00E234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13A8">
              <w:rPr>
                <w:rFonts w:ascii="Arial" w:hAnsi="Arial" w:cs="Arial"/>
                <w:b/>
                <w:sz w:val="20"/>
                <w:szCs w:val="20"/>
              </w:rPr>
              <w:t>Lisäselvitys tarvittaessa</w:t>
            </w:r>
          </w:p>
        </w:tc>
      </w:tr>
      <w:tr w:rsidR="00E23469" w:rsidRPr="00E23469" w:rsidTr="004956F1">
        <w:trPr>
          <w:trHeight w:val="548"/>
        </w:trPr>
        <w:tc>
          <w:tcPr>
            <w:tcW w:w="656" w:type="dxa"/>
            <w:vMerge/>
            <w:tcBorders>
              <w:bottom w:val="single" w:sz="4" w:space="0" w:color="auto"/>
            </w:tcBorders>
            <w:shd w:val="clear" w:color="auto" w:fill="4DD6FF" w:themeFill="accent2" w:themeFillTint="99"/>
          </w:tcPr>
          <w:p w:rsidR="00E23469" w:rsidRPr="00DE13A8" w:rsidRDefault="00E23469" w:rsidP="00E23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16" w:type="dxa"/>
            <w:vMerge/>
            <w:tcBorders>
              <w:bottom w:val="single" w:sz="4" w:space="0" w:color="auto"/>
            </w:tcBorders>
            <w:shd w:val="clear" w:color="auto" w:fill="4DD6FF" w:themeFill="accent2" w:themeFillTint="99"/>
          </w:tcPr>
          <w:p w:rsidR="00E23469" w:rsidRPr="00DE13A8" w:rsidRDefault="00E23469" w:rsidP="00E23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E23469" w:rsidRPr="004956F1" w:rsidRDefault="00E23469" w:rsidP="004956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6F1">
              <w:rPr>
                <w:rFonts w:ascii="Arial" w:hAnsi="Arial" w:cs="Arial"/>
                <w:b/>
                <w:sz w:val="16"/>
                <w:szCs w:val="16"/>
              </w:rPr>
              <w:t>Kunnossa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3469" w:rsidRPr="004956F1" w:rsidRDefault="00E23469" w:rsidP="004956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6F1">
              <w:rPr>
                <w:rFonts w:ascii="Arial" w:hAnsi="Arial" w:cs="Arial"/>
                <w:b/>
                <w:sz w:val="16"/>
                <w:szCs w:val="16"/>
              </w:rPr>
              <w:t>Osittain</w:t>
            </w:r>
          </w:p>
          <w:p w:rsidR="00E23469" w:rsidRPr="004956F1" w:rsidRDefault="00E23469" w:rsidP="004956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6F1">
              <w:rPr>
                <w:rFonts w:ascii="Arial" w:hAnsi="Arial" w:cs="Arial"/>
                <w:b/>
                <w:sz w:val="16"/>
                <w:szCs w:val="16"/>
              </w:rPr>
              <w:t>kunnossa / selvitettävä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23469" w:rsidRPr="004956F1" w:rsidRDefault="00E23469" w:rsidP="004956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6F1">
              <w:rPr>
                <w:rFonts w:ascii="Arial" w:hAnsi="Arial" w:cs="Arial"/>
                <w:b/>
                <w:sz w:val="16"/>
                <w:szCs w:val="16"/>
              </w:rPr>
              <w:t>Ei</w:t>
            </w:r>
          </w:p>
          <w:p w:rsidR="00E23469" w:rsidRPr="004956F1" w:rsidRDefault="00E23469" w:rsidP="004956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6F1">
              <w:rPr>
                <w:rFonts w:ascii="Arial" w:hAnsi="Arial" w:cs="Arial"/>
                <w:b/>
                <w:sz w:val="16"/>
                <w:szCs w:val="16"/>
              </w:rPr>
              <w:t>kunnossa</w:t>
            </w:r>
          </w:p>
        </w:tc>
        <w:tc>
          <w:tcPr>
            <w:tcW w:w="3740" w:type="dxa"/>
            <w:vMerge/>
            <w:tcBorders>
              <w:bottom w:val="single" w:sz="4" w:space="0" w:color="auto"/>
            </w:tcBorders>
            <w:shd w:val="clear" w:color="auto" w:fill="4DD6FF" w:themeFill="accent2" w:themeFillTint="99"/>
          </w:tcPr>
          <w:p w:rsidR="00E23469" w:rsidRPr="00DE13A8" w:rsidRDefault="00E23469" w:rsidP="00E23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3469" w:rsidRPr="00E23469" w:rsidTr="004956F1">
        <w:trPr>
          <w:trHeight w:val="981"/>
        </w:trPr>
        <w:tc>
          <w:tcPr>
            <w:tcW w:w="656" w:type="dxa"/>
            <w:shd w:val="clear" w:color="auto" w:fill="BFBFBF" w:themeFill="background1" w:themeFillShade="BF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216" w:type="dxa"/>
          </w:tcPr>
          <w:p w:rsidR="00E23469" w:rsidRDefault="00E13037" w:rsidP="002D0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Varautumisen ja jatkuvuudenhallinnan perusteet </w:t>
            </w:r>
            <w:r w:rsidR="00823916">
              <w:rPr>
                <w:rFonts w:ascii="Arial" w:hAnsi="Arial" w:cs="Arial"/>
                <w:sz w:val="20"/>
                <w:szCs w:val="20"/>
              </w:rPr>
              <w:t xml:space="preserve">ja vaatimukset </w:t>
            </w:r>
            <w:r>
              <w:rPr>
                <w:rFonts w:ascii="Arial" w:hAnsi="Arial" w:cs="Arial"/>
                <w:sz w:val="20"/>
                <w:szCs w:val="20"/>
              </w:rPr>
              <w:t xml:space="preserve">on tunnistettu (esim. lainsäädäntö, sidosryhmävaatimukset). </w:t>
            </w:r>
            <w:r w:rsidR="00DE13A8">
              <w:rPr>
                <w:rFonts w:ascii="Arial" w:hAnsi="Arial" w:cs="Arial"/>
                <w:sz w:val="20"/>
                <w:szCs w:val="20"/>
              </w:rPr>
              <w:t>Varautumisen ja j</w:t>
            </w:r>
            <w:r w:rsidR="00E23469" w:rsidRPr="00DE13A8">
              <w:rPr>
                <w:rFonts w:ascii="Arial" w:hAnsi="Arial" w:cs="Arial"/>
                <w:sz w:val="20"/>
                <w:szCs w:val="20"/>
              </w:rPr>
              <w:t>atkuvuudenhallinnan toimintamalli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469" w:rsidRPr="00DE13A8">
              <w:rPr>
                <w:rFonts w:ascii="Arial" w:hAnsi="Arial" w:cs="Arial"/>
                <w:sz w:val="20"/>
                <w:szCs w:val="20"/>
              </w:rPr>
              <w:t>on kuvat</w:t>
            </w:r>
            <w:r>
              <w:rPr>
                <w:rFonts w:ascii="Arial" w:hAnsi="Arial" w:cs="Arial"/>
                <w:sz w:val="20"/>
                <w:szCs w:val="20"/>
              </w:rPr>
              <w:t xml:space="preserve">tu sekä </w:t>
            </w:r>
            <w:r w:rsidR="00E23469" w:rsidRPr="00DE13A8">
              <w:rPr>
                <w:rFonts w:ascii="Arial" w:hAnsi="Arial" w:cs="Arial"/>
                <w:sz w:val="20"/>
                <w:szCs w:val="20"/>
              </w:rPr>
              <w:t>ohjeistet</w:t>
            </w:r>
            <w:r>
              <w:rPr>
                <w:rFonts w:ascii="Arial" w:hAnsi="Arial" w:cs="Arial"/>
                <w:sz w:val="20"/>
                <w:szCs w:val="20"/>
              </w:rPr>
              <w:t>tu. Varautumiseen liittyvät v</w:t>
            </w:r>
            <w:r w:rsidR="001B66C3">
              <w:rPr>
                <w:rFonts w:ascii="Arial" w:hAnsi="Arial" w:cs="Arial"/>
                <w:sz w:val="20"/>
                <w:szCs w:val="20"/>
              </w:rPr>
              <w:t>astuut ja roolit on määritelty</w:t>
            </w:r>
            <w:r w:rsidR="00302662">
              <w:rPr>
                <w:rFonts w:ascii="Arial" w:hAnsi="Arial" w:cs="Arial"/>
                <w:sz w:val="20"/>
                <w:szCs w:val="20"/>
              </w:rPr>
              <w:t xml:space="preserve"> kirjallisesti</w:t>
            </w:r>
            <w:r w:rsidR="00E23469" w:rsidRPr="00DE13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956F1" w:rsidRPr="004956F1" w:rsidRDefault="004956F1" w:rsidP="002D0B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bookmarkStart w:id="0" w:name="Teksti86"/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0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3469" w:rsidRPr="00E23469" w:rsidTr="004956F1">
        <w:trPr>
          <w:trHeight w:val="697"/>
        </w:trPr>
        <w:tc>
          <w:tcPr>
            <w:tcW w:w="656" w:type="dxa"/>
            <w:shd w:val="clear" w:color="auto" w:fill="BFBFBF" w:themeFill="background1" w:themeFillShade="BF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216" w:type="dxa"/>
          </w:tcPr>
          <w:p w:rsidR="004956F1" w:rsidRDefault="00E5063B" w:rsidP="00DE1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Varautumisen ohjaamiseen ja kehittämiseen on varattu riittävästi resursseja. Minimissään organisaatiotason varautumisen</w:t>
            </w:r>
            <w:r w:rsidR="001B66C3" w:rsidRPr="001B66C3">
              <w:rPr>
                <w:rFonts w:ascii="Arial" w:hAnsi="Arial" w:cs="Arial"/>
                <w:sz w:val="20"/>
                <w:szCs w:val="20"/>
              </w:rPr>
              <w:t xml:space="preserve"> koordinaattori (vast.) on nimetty, koulutettu sekä työaikaa on osoitettu koordinoimisen toteuttamiseksi.</w:t>
            </w:r>
          </w:p>
          <w:p w:rsidR="004956F1" w:rsidRPr="004956F1" w:rsidRDefault="004956F1" w:rsidP="00DE13A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3469" w:rsidRPr="00E23469" w:rsidTr="004956F1">
        <w:trPr>
          <w:trHeight w:val="526"/>
        </w:trPr>
        <w:tc>
          <w:tcPr>
            <w:tcW w:w="656" w:type="dxa"/>
            <w:shd w:val="clear" w:color="auto" w:fill="BFBFBF" w:themeFill="background1" w:themeFillShade="BF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216" w:type="dxa"/>
          </w:tcPr>
          <w:p w:rsidR="00E23469" w:rsidRDefault="001B66C3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1B66C3">
              <w:rPr>
                <w:rFonts w:ascii="Arial" w:hAnsi="Arial" w:cs="Arial"/>
                <w:sz w:val="20"/>
                <w:szCs w:val="20"/>
              </w:rPr>
              <w:t xml:space="preserve">Varautumisen ja jatkuvuudenhallinnan kaikki keskeiset suunnitelmat </w:t>
            </w:r>
            <w:r w:rsidR="00823916">
              <w:rPr>
                <w:rFonts w:ascii="Arial" w:hAnsi="Arial" w:cs="Arial"/>
                <w:sz w:val="20"/>
                <w:szCs w:val="20"/>
              </w:rPr>
              <w:t xml:space="preserve">ja toimintakortit on laadittu/päivitetty kolmen vuoden sisällä </w:t>
            </w:r>
            <w:r w:rsidRPr="001B66C3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302662">
              <w:rPr>
                <w:rFonts w:ascii="Arial" w:hAnsi="Arial" w:cs="Arial"/>
                <w:sz w:val="20"/>
                <w:szCs w:val="20"/>
              </w:rPr>
              <w:t xml:space="preserve">organisaation </w:t>
            </w:r>
            <w:r w:rsidRPr="001B66C3">
              <w:rPr>
                <w:rFonts w:ascii="Arial" w:hAnsi="Arial" w:cs="Arial"/>
                <w:sz w:val="20"/>
                <w:szCs w:val="20"/>
              </w:rPr>
              <w:t>ylin johto on ne hyväksynyt.</w:t>
            </w:r>
          </w:p>
          <w:p w:rsidR="004956F1" w:rsidRPr="004956F1" w:rsidRDefault="004956F1" w:rsidP="00DE13A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3469" w:rsidRPr="00E23469" w:rsidTr="004956F1">
        <w:trPr>
          <w:trHeight w:val="520"/>
        </w:trPr>
        <w:tc>
          <w:tcPr>
            <w:tcW w:w="656" w:type="dxa"/>
            <w:shd w:val="clear" w:color="auto" w:fill="BFBFBF" w:themeFill="background1" w:themeFillShade="BF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216" w:type="dxa"/>
          </w:tcPr>
          <w:p w:rsidR="00E23469" w:rsidRDefault="001B66C3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1B66C3">
              <w:rPr>
                <w:rFonts w:ascii="Arial" w:hAnsi="Arial" w:cs="Arial"/>
                <w:sz w:val="20"/>
                <w:szCs w:val="20"/>
              </w:rPr>
              <w:t xml:space="preserve">Käytettävissä </w:t>
            </w:r>
            <w:r w:rsidR="00E13037">
              <w:rPr>
                <w:rFonts w:ascii="Arial" w:hAnsi="Arial" w:cs="Arial"/>
                <w:sz w:val="20"/>
                <w:szCs w:val="20"/>
              </w:rPr>
              <w:t>on selkeä toimintamalli vakavissa häiriötilanteissa avainhenkilöiden hälyttämiseksi, toiminnan</w:t>
            </w:r>
            <w:r w:rsidRPr="001B6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037">
              <w:rPr>
                <w:rFonts w:ascii="Arial" w:hAnsi="Arial" w:cs="Arial"/>
                <w:sz w:val="20"/>
                <w:szCs w:val="20"/>
              </w:rPr>
              <w:t>johtamiseksi sekä kriisiviestintään.</w:t>
            </w:r>
          </w:p>
          <w:p w:rsidR="004956F1" w:rsidRPr="004956F1" w:rsidRDefault="004956F1" w:rsidP="00DE13A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3469" w:rsidRPr="00E23469" w:rsidTr="004956F1">
        <w:trPr>
          <w:trHeight w:val="783"/>
        </w:trPr>
        <w:tc>
          <w:tcPr>
            <w:tcW w:w="656" w:type="dxa"/>
            <w:shd w:val="clear" w:color="auto" w:fill="BFBFBF" w:themeFill="background1" w:themeFillShade="BF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216" w:type="dxa"/>
          </w:tcPr>
          <w:p w:rsidR="00E23469" w:rsidRDefault="00E9207C" w:rsidP="00E9207C">
            <w:pPr>
              <w:rPr>
                <w:rFonts w:ascii="Arial" w:hAnsi="Arial" w:cs="Arial"/>
                <w:sz w:val="20"/>
                <w:szCs w:val="20"/>
              </w:rPr>
            </w:pPr>
            <w:r w:rsidRPr="00E9207C">
              <w:rPr>
                <w:rFonts w:ascii="Arial" w:hAnsi="Arial" w:cs="Arial"/>
                <w:sz w:val="20"/>
                <w:szCs w:val="20"/>
              </w:rPr>
              <w:t xml:space="preserve">Toimintamallit ja suunnitelmat ovat </w:t>
            </w:r>
            <w:r w:rsidR="00823916">
              <w:rPr>
                <w:rFonts w:ascii="Arial" w:hAnsi="Arial" w:cs="Arial"/>
                <w:sz w:val="20"/>
                <w:szCs w:val="20"/>
              </w:rPr>
              <w:t xml:space="preserve">helposti </w:t>
            </w:r>
            <w:r w:rsidRPr="00E9207C">
              <w:rPr>
                <w:rFonts w:ascii="Arial" w:hAnsi="Arial" w:cs="Arial"/>
                <w:sz w:val="20"/>
                <w:szCs w:val="20"/>
              </w:rPr>
              <w:t>saatavilla ja henkilöstö on perehtynyt niihin. Toiminnan kannalta keskeiset henkilöt kaikilla tasoilla on perehdy</w:t>
            </w:r>
            <w:r w:rsidR="00E13037">
              <w:rPr>
                <w:rFonts w:ascii="Arial" w:hAnsi="Arial" w:cs="Arial"/>
                <w:sz w:val="20"/>
                <w:szCs w:val="20"/>
              </w:rPr>
              <w:t>tetty</w:t>
            </w:r>
            <w:r w:rsidRPr="00E9207C">
              <w:rPr>
                <w:rFonts w:ascii="Arial" w:hAnsi="Arial" w:cs="Arial"/>
                <w:sz w:val="20"/>
                <w:szCs w:val="20"/>
              </w:rPr>
              <w:t xml:space="preserve"> toimintamallien ja suunnitelmien keskeisiin kohtiin.</w:t>
            </w:r>
          </w:p>
          <w:p w:rsidR="004956F1" w:rsidRPr="004956F1" w:rsidRDefault="004956F1" w:rsidP="00E9207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50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3469" w:rsidRPr="00E23469" w:rsidTr="00823916">
        <w:trPr>
          <w:trHeight w:val="695"/>
        </w:trPr>
        <w:tc>
          <w:tcPr>
            <w:tcW w:w="656" w:type="dxa"/>
            <w:shd w:val="clear" w:color="auto" w:fill="BFBFBF" w:themeFill="background1" w:themeFillShade="BF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216" w:type="dxa"/>
          </w:tcPr>
          <w:p w:rsidR="00E23469" w:rsidRDefault="00E9207C" w:rsidP="00E9207C">
            <w:pPr>
              <w:rPr>
                <w:rFonts w:ascii="Arial" w:hAnsi="Arial" w:cs="Arial"/>
                <w:sz w:val="20"/>
                <w:szCs w:val="20"/>
              </w:rPr>
            </w:pPr>
            <w:r w:rsidRPr="00E9207C">
              <w:rPr>
                <w:rFonts w:ascii="Arial" w:hAnsi="Arial" w:cs="Arial"/>
                <w:sz w:val="20"/>
                <w:szCs w:val="20"/>
              </w:rPr>
              <w:t>Kaikissa tilanteissa ylläpidettävät</w:t>
            </w:r>
            <w:r w:rsidR="004956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916">
              <w:rPr>
                <w:rFonts w:ascii="Arial" w:hAnsi="Arial" w:cs="Arial"/>
                <w:sz w:val="20"/>
                <w:szCs w:val="20"/>
              </w:rPr>
              <w:t xml:space="preserve">kriittiset </w:t>
            </w:r>
            <w:r w:rsidR="004956F1">
              <w:rPr>
                <w:rFonts w:ascii="Arial" w:hAnsi="Arial" w:cs="Arial"/>
                <w:sz w:val="20"/>
                <w:szCs w:val="20"/>
              </w:rPr>
              <w:t>toiminnot ja tehtävät</w:t>
            </w:r>
            <w:r w:rsidRPr="00E9207C">
              <w:rPr>
                <w:rFonts w:ascii="Arial" w:hAnsi="Arial" w:cs="Arial"/>
                <w:sz w:val="20"/>
                <w:szCs w:val="20"/>
              </w:rPr>
              <w:t xml:space="preserve"> on tunnistettu</w:t>
            </w:r>
            <w:r w:rsidR="00823916">
              <w:rPr>
                <w:rFonts w:ascii="Arial" w:hAnsi="Arial" w:cs="Arial"/>
                <w:sz w:val="20"/>
                <w:szCs w:val="20"/>
              </w:rPr>
              <w:t>. Myös näiden ylläpitämiseen</w:t>
            </w:r>
            <w:r w:rsidRPr="00E9207C">
              <w:rPr>
                <w:rFonts w:ascii="Arial" w:hAnsi="Arial" w:cs="Arial"/>
                <w:sz w:val="20"/>
                <w:szCs w:val="20"/>
              </w:rPr>
              <w:t xml:space="preserve"> liittyvät kriittiset järjestelmät, toiminnot ja t</w:t>
            </w:r>
            <w:r w:rsidR="00823916">
              <w:rPr>
                <w:rFonts w:ascii="Arial" w:hAnsi="Arial" w:cs="Arial"/>
                <w:sz w:val="20"/>
                <w:szCs w:val="20"/>
              </w:rPr>
              <w:t>ehtävät on tunnistettu ja määritetty</w:t>
            </w:r>
            <w:r w:rsidR="005E3BDF">
              <w:rPr>
                <w:rFonts w:ascii="Arial" w:hAnsi="Arial" w:cs="Arial"/>
                <w:sz w:val="20"/>
                <w:szCs w:val="20"/>
              </w:rPr>
              <w:t xml:space="preserve"> riittävät hallintakeinot</w:t>
            </w:r>
            <w:r w:rsidRPr="00E9207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956F1" w:rsidRPr="004956F1" w:rsidRDefault="004956F1" w:rsidP="00E9207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3469" w:rsidRPr="00E23469" w:rsidTr="004956F1">
        <w:trPr>
          <w:trHeight w:val="937"/>
        </w:trPr>
        <w:tc>
          <w:tcPr>
            <w:tcW w:w="656" w:type="dxa"/>
            <w:shd w:val="clear" w:color="auto" w:fill="BFBFBF" w:themeFill="background1" w:themeFillShade="BF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216" w:type="dxa"/>
          </w:tcPr>
          <w:p w:rsidR="00E23469" w:rsidRDefault="00E9207C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E9207C">
              <w:rPr>
                <w:rFonts w:ascii="Arial" w:hAnsi="Arial" w:cs="Arial"/>
                <w:sz w:val="20"/>
                <w:szCs w:val="20"/>
              </w:rPr>
              <w:t>Koulutus ja harjoittelu on suunnitelmallista sekä säännöllistä. Koulutuksia ja harjoituksia järjestetään organisaation kaikilla tasoilla huomioiden henkilöiden roolit sekä tehtävät osana organisaation varautumista. Koulutuksien ja harjoituksien toteutumista seurataan.</w:t>
            </w:r>
          </w:p>
          <w:p w:rsidR="004956F1" w:rsidRPr="004956F1" w:rsidRDefault="004956F1" w:rsidP="00DE13A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3469" w:rsidRPr="00E23469" w:rsidTr="00DE4B63">
        <w:trPr>
          <w:trHeight w:val="745"/>
        </w:trPr>
        <w:tc>
          <w:tcPr>
            <w:tcW w:w="656" w:type="dxa"/>
            <w:shd w:val="clear" w:color="auto" w:fill="BFBFBF" w:themeFill="background1" w:themeFillShade="BF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216" w:type="dxa"/>
          </w:tcPr>
          <w:p w:rsidR="00E23469" w:rsidRDefault="001B66C3" w:rsidP="00DE1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Riskienhallinnan perusteet on määritelty ja riskienhallinnassa on</w:t>
            </w:r>
            <w:r w:rsidRPr="001B66C3">
              <w:rPr>
                <w:rFonts w:ascii="Arial" w:hAnsi="Arial" w:cs="Arial"/>
                <w:sz w:val="20"/>
                <w:szCs w:val="20"/>
              </w:rPr>
              <w:t xml:space="preserve"> läpi organisaation </w:t>
            </w:r>
            <w:r w:rsidR="005E3BDF">
              <w:rPr>
                <w:rFonts w:ascii="Arial" w:hAnsi="Arial" w:cs="Arial"/>
                <w:sz w:val="20"/>
                <w:szCs w:val="20"/>
              </w:rPr>
              <w:t>ohjeistettu menettelytapa</w:t>
            </w:r>
            <w:r w:rsidRPr="001B66C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5063B">
              <w:rPr>
                <w:rFonts w:ascii="Arial" w:hAnsi="Arial" w:cs="Arial"/>
                <w:sz w:val="20"/>
                <w:szCs w:val="20"/>
              </w:rPr>
              <w:t>Riskien arvioinneissa otetaan</w:t>
            </w:r>
            <w:r w:rsidR="00823916">
              <w:rPr>
                <w:rFonts w:ascii="Arial" w:hAnsi="Arial" w:cs="Arial"/>
                <w:sz w:val="20"/>
                <w:szCs w:val="20"/>
              </w:rPr>
              <w:t xml:space="preserve"> huomioon</w:t>
            </w:r>
            <w:r w:rsidR="00E23469" w:rsidRPr="00DE1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63B">
              <w:rPr>
                <w:rFonts w:ascii="Arial" w:hAnsi="Arial" w:cs="Arial"/>
                <w:sz w:val="20"/>
                <w:szCs w:val="20"/>
              </w:rPr>
              <w:t xml:space="preserve">toiminnan häiriöttömyyteen vaikuttavat </w:t>
            </w:r>
            <w:r w:rsidR="00E23469" w:rsidRPr="00DE13A8">
              <w:rPr>
                <w:rFonts w:ascii="Arial" w:hAnsi="Arial" w:cs="Arial"/>
                <w:sz w:val="20"/>
                <w:szCs w:val="20"/>
              </w:rPr>
              <w:t>toiminnalliset</w:t>
            </w:r>
            <w:r w:rsidR="00E5063B">
              <w:rPr>
                <w:rFonts w:ascii="Arial" w:hAnsi="Arial" w:cs="Arial"/>
                <w:sz w:val="20"/>
                <w:szCs w:val="20"/>
              </w:rPr>
              <w:t xml:space="preserve"> ja vahinkoriskit. </w:t>
            </w:r>
            <w:r w:rsidR="00823916">
              <w:rPr>
                <w:rFonts w:ascii="Arial" w:hAnsi="Arial" w:cs="Arial"/>
                <w:sz w:val="20"/>
                <w:szCs w:val="20"/>
              </w:rPr>
              <w:t>Merkittävimpiä riskejä seurataan ja niiden hallinnasta raportoidaan säännöllisesti.</w:t>
            </w:r>
          </w:p>
          <w:p w:rsidR="004956F1" w:rsidRPr="004956F1" w:rsidRDefault="004956F1" w:rsidP="00DE13A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3469" w:rsidRPr="00E23469" w:rsidTr="004956F1">
        <w:trPr>
          <w:trHeight w:val="683"/>
        </w:trPr>
        <w:tc>
          <w:tcPr>
            <w:tcW w:w="656" w:type="dxa"/>
            <w:shd w:val="clear" w:color="auto" w:fill="BFBFBF" w:themeFill="background1" w:themeFillShade="BF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216" w:type="dxa"/>
          </w:tcPr>
          <w:p w:rsidR="00E23469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t>O</w:t>
            </w:r>
            <w:r w:rsidR="004956F1">
              <w:rPr>
                <w:rFonts w:ascii="Arial" w:hAnsi="Arial" w:cs="Arial"/>
                <w:sz w:val="20"/>
                <w:szCs w:val="20"/>
              </w:rPr>
              <w:t>rganisaatio on tunnistanut</w:t>
            </w:r>
            <w:r w:rsidRPr="00DE13A8">
              <w:rPr>
                <w:rFonts w:ascii="Arial" w:hAnsi="Arial" w:cs="Arial"/>
                <w:sz w:val="20"/>
                <w:szCs w:val="20"/>
              </w:rPr>
              <w:t xml:space="preserve"> dokumentoidusti keskeiset sidosryhmä</w:t>
            </w:r>
            <w:r w:rsidR="004956F1">
              <w:rPr>
                <w:rFonts w:ascii="Arial" w:hAnsi="Arial" w:cs="Arial"/>
                <w:sz w:val="20"/>
                <w:szCs w:val="20"/>
              </w:rPr>
              <w:t>t ja ulkoiset palveluntuottajat</w:t>
            </w:r>
            <w:r w:rsidRPr="00DE13A8">
              <w:rPr>
                <w:rFonts w:ascii="Arial" w:hAnsi="Arial" w:cs="Arial"/>
                <w:sz w:val="20"/>
                <w:szCs w:val="20"/>
              </w:rPr>
              <w:t>. Varautumisvastuut, yhteistoimintajärjestelyt sekä varajärjestelyt häiriöti</w:t>
            </w:r>
            <w:r w:rsidR="00E5063B">
              <w:rPr>
                <w:rFonts w:ascii="Arial" w:hAnsi="Arial" w:cs="Arial"/>
                <w:sz w:val="20"/>
                <w:szCs w:val="20"/>
              </w:rPr>
              <w:t>lanteissa on sovittu ja kuvattu, tarvittaessa sopimuksin.</w:t>
            </w:r>
          </w:p>
          <w:p w:rsidR="004956F1" w:rsidRPr="004956F1" w:rsidRDefault="004956F1" w:rsidP="00DE13A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3469" w:rsidRPr="00E23469" w:rsidTr="004956F1">
        <w:trPr>
          <w:trHeight w:val="723"/>
        </w:trPr>
        <w:tc>
          <w:tcPr>
            <w:tcW w:w="656" w:type="dxa"/>
            <w:shd w:val="clear" w:color="auto" w:fill="BFBFBF" w:themeFill="background1" w:themeFillShade="BF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216" w:type="dxa"/>
          </w:tcPr>
          <w:p w:rsidR="00E23469" w:rsidRDefault="0003107A" w:rsidP="00DE1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Varautumisen ja j</w:t>
            </w:r>
            <w:r w:rsidR="00E23469" w:rsidRPr="00DE13A8">
              <w:rPr>
                <w:rFonts w:ascii="Arial" w:hAnsi="Arial" w:cs="Arial"/>
                <w:sz w:val="20"/>
                <w:szCs w:val="20"/>
              </w:rPr>
              <w:t>atkuvuuden</w:t>
            </w:r>
            <w:r w:rsidR="004956F1">
              <w:rPr>
                <w:rFonts w:ascii="Arial" w:hAnsi="Arial" w:cs="Arial"/>
                <w:sz w:val="20"/>
                <w:szCs w:val="20"/>
              </w:rPr>
              <w:t>hall</w:t>
            </w:r>
            <w:r w:rsidR="00E5063B">
              <w:rPr>
                <w:rFonts w:ascii="Arial" w:hAnsi="Arial" w:cs="Arial"/>
                <w:sz w:val="20"/>
                <w:szCs w:val="20"/>
              </w:rPr>
              <w:t>innan tilannetta ja tasoa</w:t>
            </w:r>
            <w:r w:rsidR="00E23469" w:rsidRPr="00DE13A8">
              <w:rPr>
                <w:rFonts w:ascii="Arial" w:hAnsi="Arial" w:cs="Arial"/>
                <w:sz w:val="20"/>
                <w:szCs w:val="20"/>
              </w:rPr>
              <w:t xml:space="preserve"> on arvioitu viimeisen kahden vuo</w:t>
            </w:r>
            <w:r w:rsidR="004956F1">
              <w:rPr>
                <w:rFonts w:ascii="Arial" w:hAnsi="Arial" w:cs="Arial"/>
                <w:sz w:val="20"/>
                <w:szCs w:val="20"/>
              </w:rPr>
              <w:t xml:space="preserve">den aikana. Varautumisen ja </w:t>
            </w:r>
            <w:r w:rsidR="00E23469" w:rsidRPr="00DE13A8">
              <w:rPr>
                <w:rFonts w:ascii="Arial" w:hAnsi="Arial" w:cs="Arial"/>
                <w:sz w:val="20"/>
                <w:szCs w:val="20"/>
              </w:rPr>
              <w:t xml:space="preserve">jatkuvuudenhallinnan </w:t>
            </w:r>
            <w:r w:rsidR="004956F1">
              <w:rPr>
                <w:rFonts w:ascii="Arial" w:hAnsi="Arial" w:cs="Arial"/>
                <w:sz w:val="20"/>
                <w:szCs w:val="20"/>
              </w:rPr>
              <w:t xml:space="preserve">kannalta </w:t>
            </w:r>
            <w:r w:rsidR="00E23469" w:rsidRPr="00DE13A8">
              <w:rPr>
                <w:rFonts w:ascii="Arial" w:hAnsi="Arial" w:cs="Arial"/>
                <w:sz w:val="20"/>
                <w:szCs w:val="20"/>
              </w:rPr>
              <w:t>keskeiset kehittämiskohteet</w:t>
            </w:r>
            <w:r w:rsidR="004956F1">
              <w:rPr>
                <w:rFonts w:ascii="Arial" w:hAnsi="Arial" w:cs="Arial"/>
                <w:sz w:val="20"/>
                <w:szCs w:val="20"/>
              </w:rPr>
              <w:t xml:space="preserve"> ovat tiedossa</w:t>
            </w:r>
            <w:r w:rsidR="00E23469" w:rsidRPr="00DE13A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956F1" w:rsidRPr="004956F1" w:rsidRDefault="004956F1" w:rsidP="00DE13A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23469" w:rsidRPr="00DE13A8" w:rsidRDefault="00E23469" w:rsidP="00DE1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</w:tcPr>
          <w:p w:rsidR="00E23469" w:rsidRPr="00DE13A8" w:rsidRDefault="00E23469" w:rsidP="00DE13A8">
            <w:pPr>
              <w:rPr>
                <w:rFonts w:ascii="Arial" w:hAnsi="Arial" w:cs="Arial"/>
                <w:sz w:val="20"/>
                <w:szCs w:val="20"/>
              </w:rPr>
            </w:pPr>
            <w:r w:rsidRPr="00DE1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E1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3A8">
              <w:rPr>
                <w:rFonts w:ascii="Arial" w:hAnsi="Arial" w:cs="Arial"/>
                <w:sz w:val="20"/>
                <w:szCs w:val="20"/>
              </w:rPr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t> </w:t>
            </w:r>
            <w:r w:rsidRPr="00DE1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23469" w:rsidRDefault="00E23469"/>
    <w:p w:rsidR="008E40E2" w:rsidRDefault="008E40E2" w:rsidP="008E40E2">
      <w:pPr>
        <w:rPr>
          <w:b/>
        </w:rPr>
      </w:pPr>
    </w:p>
    <w:p w:rsidR="008E40E2" w:rsidRPr="008E40E2" w:rsidRDefault="00B840C4" w:rsidP="008E40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KUJA-p</w:t>
      </w:r>
      <w:r w:rsidR="008E40E2" w:rsidRPr="008E40E2">
        <w:rPr>
          <w:rFonts w:ascii="Arial" w:hAnsi="Arial" w:cs="Arial"/>
          <w:b/>
          <w:sz w:val="22"/>
          <w:szCs w:val="22"/>
        </w:rPr>
        <w:t>ikatestin tulosten tulkinta:</w:t>
      </w:r>
    </w:p>
    <w:p w:rsidR="008E40E2" w:rsidRPr="008E40E2" w:rsidRDefault="008E40E2" w:rsidP="008E40E2">
      <w:pPr>
        <w:rPr>
          <w:rFonts w:ascii="Arial" w:hAnsi="Arial" w:cs="Arial"/>
          <w:sz w:val="22"/>
          <w:szCs w:val="22"/>
        </w:rPr>
      </w:pPr>
    </w:p>
    <w:p w:rsidR="008E40E2" w:rsidRDefault="008E40E2" w:rsidP="008E40E2">
      <w:pPr>
        <w:rPr>
          <w:rFonts w:ascii="Arial" w:hAnsi="Arial" w:cs="Arial"/>
          <w:sz w:val="22"/>
          <w:szCs w:val="22"/>
        </w:rPr>
      </w:pPr>
      <w:r w:rsidRPr="008E40E2">
        <w:rPr>
          <w:rFonts w:ascii="Arial" w:hAnsi="Arial" w:cs="Arial"/>
          <w:sz w:val="22"/>
          <w:szCs w:val="22"/>
        </w:rPr>
        <w:t>Laskekaa kustakin kysymyksestä saadut pisteet yhteen. Mitä suurempi pistemäärä, sitä suure</w:t>
      </w:r>
      <w:r w:rsidR="001C6A5D">
        <w:rPr>
          <w:rFonts w:ascii="Arial" w:hAnsi="Arial" w:cs="Arial"/>
          <w:sz w:val="22"/>
          <w:szCs w:val="22"/>
        </w:rPr>
        <w:t>mpi riski on, etteivät</w:t>
      </w:r>
      <w:r w:rsidRPr="008E40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varautumisenne ja </w:t>
      </w:r>
      <w:r w:rsidRPr="008E40E2">
        <w:rPr>
          <w:rFonts w:ascii="Arial" w:hAnsi="Arial" w:cs="Arial"/>
          <w:sz w:val="22"/>
          <w:szCs w:val="22"/>
        </w:rPr>
        <w:t>jatkuvuuden</w:t>
      </w:r>
      <w:r w:rsidR="001C6A5D">
        <w:rPr>
          <w:rFonts w:ascii="Arial" w:hAnsi="Arial" w:cs="Arial"/>
          <w:sz w:val="22"/>
          <w:szCs w:val="22"/>
        </w:rPr>
        <w:t xml:space="preserve">hallintanne </w:t>
      </w:r>
      <w:r w:rsidRPr="008E40E2">
        <w:rPr>
          <w:rFonts w:ascii="Arial" w:hAnsi="Arial" w:cs="Arial"/>
          <w:sz w:val="22"/>
          <w:szCs w:val="22"/>
        </w:rPr>
        <w:t xml:space="preserve">ole kunnossa. Riskipisteiden avulla voitte arvioida tarvetta analysoida ja kehittää </w:t>
      </w:r>
      <w:r>
        <w:rPr>
          <w:rFonts w:ascii="Arial" w:hAnsi="Arial" w:cs="Arial"/>
          <w:sz w:val="22"/>
          <w:szCs w:val="22"/>
        </w:rPr>
        <w:t xml:space="preserve">varautumista ja </w:t>
      </w:r>
      <w:r w:rsidRPr="008E40E2">
        <w:rPr>
          <w:rFonts w:ascii="Arial" w:hAnsi="Arial" w:cs="Arial"/>
          <w:sz w:val="22"/>
          <w:szCs w:val="22"/>
        </w:rPr>
        <w:t>jatkuvuudenhallintaa tarkemmin.</w:t>
      </w:r>
    </w:p>
    <w:p w:rsidR="008E40E2" w:rsidRPr="008E40E2" w:rsidRDefault="008E40E2" w:rsidP="008E40E2">
      <w:pPr>
        <w:rPr>
          <w:rFonts w:ascii="Arial" w:hAnsi="Arial" w:cs="Arial"/>
          <w:sz w:val="22"/>
          <w:szCs w:val="22"/>
        </w:rPr>
      </w:pPr>
    </w:p>
    <w:p w:rsidR="008E40E2" w:rsidRPr="008E40E2" w:rsidRDefault="008E40E2" w:rsidP="008E40E2">
      <w:pPr>
        <w:rPr>
          <w:rFonts w:ascii="Arial" w:hAnsi="Arial" w:cs="Arial"/>
          <w:sz w:val="22"/>
          <w:szCs w:val="22"/>
        </w:rPr>
      </w:pPr>
      <w:r w:rsidRPr="008E40E2">
        <w:rPr>
          <w:rFonts w:ascii="Arial" w:hAnsi="Arial" w:cs="Arial"/>
          <w:sz w:val="22"/>
          <w:szCs w:val="22"/>
        </w:rPr>
        <w:t xml:space="preserve">Kunnossa vastauksesta </w:t>
      </w:r>
      <w:r w:rsidRPr="008E40E2">
        <w:rPr>
          <w:rFonts w:ascii="Arial" w:hAnsi="Arial" w:cs="Arial"/>
          <w:b/>
          <w:sz w:val="22"/>
          <w:szCs w:val="22"/>
        </w:rPr>
        <w:t>0 pistettä</w:t>
      </w:r>
    </w:p>
    <w:p w:rsidR="008E40E2" w:rsidRPr="008E40E2" w:rsidRDefault="008E40E2" w:rsidP="008E40E2">
      <w:pPr>
        <w:rPr>
          <w:rFonts w:ascii="Arial" w:hAnsi="Arial" w:cs="Arial"/>
          <w:sz w:val="22"/>
          <w:szCs w:val="22"/>
        </w:rPr>
      </w:pPr>
      <w:r w:rsidRPr="008E40E2">
        <w:rPr>
          <w:rFonts w:ascii="Arial" w:hAnsi="Arial" w:cs="Arial"/>
          <w:sz w:val="22"/>
          <w:szCs w:val="22"/>
        </w:rPr>
        <w:t xml:space="preserve">Selvitettävä vastauksesta </w:t>
      </w:r>
      <w:r w:rsidRPr="008E40E2">
        <w:rPr>
          <w:rFonts w:ascii="Arial" w:hAnsi="Arial" w:cs="Arial"/>
          <w:b/>
          <w:sz w:val="22"/>
          <w:szCs w:val="22"/>
        </w:rPr>
        <w:t>2 pistettä</w:t>
      </w:r>
    </w:p>
    <w:p w:rsidR="008E40E2" w:rsidRPr="008E40E2" w:rsidRDefault="008E40E2" w:rsidP="008E40E2">
      <w:pPr>
        <w:rPr>
          <w:rFonts w:ascii="Arial" w:hAnsi="Arial" w:cs="Arial"/>
          <w:b/>
          <w:sz w:val="22"/>
          <w:szCs w:val="22"/>
        </w:rPr>
      </w:pPr>
      <w:r w:rsidRPr="008E40E2">
        <w:rPr>
          <w:rFonts w:ascii="Arial" w:hAnsi="Arial" w:cs="Arial"/>
          <w:sz w:val="22"/>
          <w:szCs w:val="22"/>
        </w:rPr>
        <w:t xml:space="preserve">Ei kunnossa vastauksesta </w:t>
      </w:r>
      <w:r w:rsidRPr="008E40E2">
        <w:rPr>
          <w:rFonts w:ascii="Arial" w:hAnsi="Arial" w:cs="Arial"/>
          <w:b/>
          <w:sz w:val="22"/>
          <w:szCs w:val="22"/>
        </w:rPr>
        <w:t>4 pistettä</w:t>
      </w:r>
    </w:p>
    <w:p w:rsidR="008E40E2" w:rsidRPr="008E40E2" w:rsidRDefault="008E40E2" w:rsidP="008E40E2">
      <w:pPr>
        <w:rPr>
          <w:rFonts w:ascii="Arial" w:hAnsi="Arial" w:cs="Arial"/>
          <w:b/>
          <w:sz w:val="22"/>
          <w:szCs w:val="22"/>
        </w:rPr>
      </w:pPr>
    </w:p>
    <w:p w:rsidR="008E40E2" w:rsidRPr="008E40E2" w:rsidRDefault="008E40E2" w:rsidP="008E40E2">
      <w:pPr>
        <w:rPr>
          <w:rFonts w:ascii="Arial" w:hAnsi="Arial" w:cs="Arial"/>
          <w:sz w:val="22"/>
          <w:szCs w:val="22"/>
        </w:rPr>
      </w:pPr>
      <w:r w:rsidRPr="008E40E2">
        <w:rPr>
          <w:rFonts w:ascii="Arial" w:hAnsi="Arial" w:cs="Arial"/>
          <w:b/>
          <w:sz w:val="22"/>
          <w:szCs w:val="22"/>
        </w:rPr>
        <w:t xml:space="preserve">Organisaatiomme kokonaispistemäärä: </w:t>
      </w:r>
      <w:r w:rsidRPr="008E40E2">
        <w:rPr>
          <w:rFonts w:ascii="Arial" w:hAnsi="Arial" w:cs="Arial"/>
          <w:sz w:val="22"/>
          <w:szCs w:val="22"/>
        </w:rPr>
        <w:fldChar w:fldCharType="begin">
          <w:ffData>
            <w:name w:val="Teksti86"/>
            <w:enabled/>
            <w:calcOnExit w:val="0"/>
            <w:textInput/>
          </w:ffData>
        </w:fldChar>
      </w:r>
      <w:r w:rsidRPr="008E40E2">
        <w:rPr>
          <w:rFonts w:ascii="Arial" w:hAnsi="Arial" w:cs="Arial"/>
          <w:sz w:val="22"/>
          <w:szCs w:val="22"/>
        </w:rPr>
        <w:instrText xml:space="preserve"> FORMTEXT </w:instrText>
      </w:r>
      <w:r w:rsidRPr="008E40E2">
        <w:rPr>
          <w:rFonts w:ascii="Arial" w:hAnsi="Arial" w:cs="Arial"/>
          <w:sz w:val="22"/>
          <w:szCs w:val="22"/>
        </w:rPr>
      </w:r>
      <w:r w:rsidRPr="008E40E2">
        <w:rPr>
          <w:rFonts w:ascii="Arial" w:hAnsi="Arial" w:cs="Arial"/>
          <w:sz w:val="22"/>
          <w:szCs w:val="22"/>
        </w:rPr>
        <w:fldChar w:fldCharType="separate"/>
      </w:r>
      <w:r w:rsidRPr="008E40E2">
        <w:rPr>
          <w:rFonts w:ascii="Arial" w:hAnsi="Arial" w:cs="Arial"/>
          <w:sz w:val="22"/>
          <w:szCs w:val="22"/>
        </w:rPr>
        <w:t> </w:t>
      </w:r>
      <w:r w:rsidRPr="008E40E2">
        <w:rPr>
          <w:rFonts w:ascii="Arial" w:hAnsi="Arial" w:cs="Arial"/>
          <w:sz w:val="22"/>
          <w:szCs w:val="22"/>
        </w:rPr>
        <w:t> </w:t>
      </w:r>
      <w:r w:rsidRPr="008E40E2">
        <w:rPr>
          <w:rFonts w:ascii="Arial" w:hAnsi="Arial" w:cs="Arial"/>
          <w:sz w:val="22"/>
          <w:szCs w:val="22"/>
        </w:rPr>
        <w:t> </w:t>
      </w:r>
      <w:r w:rsidRPr="008E40E2">
        <w:rPr>
          <w:rFonts w:ascii="Arial" w:hAnsi="Arial" w:cs="Arial"/>
          <w:sz w:val="22"/>
          <w:szCs w:val="22"/>
        </w:rPr>
        <w:t> </w:t>
      </w:r>
      <w:r w:rsidRPr="008E40E2">
        <w:rPr>
          <w:rFonts w:ascii="Arial" w:hAnsi="Arial" w:cs="Arial"/>
          <w:sz w:val="22"/>
          <w:szCs w:val="22"/>
        </w:rPr>
        <w:t> </w:t>
      </w:r>
      <w:r w:rsidRPr="008E40E2">
        <w:rPr>
          <w:rFonts w:ascii="Arial" w:hAnsi="Arial" w:cs="Arial"/>
          <w:sz w:val="22"/>
          <w:szCs w:val="22"/>
        </w:rPr>
        <w:fldChar w:fldCharType="end"/>
      </w:r>
    </w:p>
    <w:p w:rsidR="008E40E2" w:rsidRPr="008E40E2" w:rsidRDefault="008E40E2" w:rsidP="008E40E2">
      <w:pPr>
        <w:rPr>
          <w:rFonts w:ascii="Arial" w:hAnsi="Arial" w:cs="Arial"/>
          <w:sz w:val="22"/>
          <w:szCs w:val="22"/>
        </w:rPr>
      </w:pPr>
    </w:p>
    <w:p w:rsidR="008E40E2" w:rsidRPr="008E40E2" w:rsidRDefault="008E40E2" w:rsidP="008E40E2">
      <w:pPr>
        <w:rPr>
          <w:rFonts w:ascii="Arial" w:hAnsi="Arial" w:cs="Arial"/>
          <w:sz w:val="22"/>
          <w:szCs w:val="22"/>
        </w:rPr>
      </w:pPr>
    </w:p>
    <w:p w:rsidR="008E40E2" w:rsidRPr="008E40E2" w:rsidRDefault="008E40E2" w:rsidP="008E40E2">
      <w:pPr>
        <w:rPr>
          <w:rFonts w:ascii="Arial" w:hAnsi="Arial" w:cs="Arial"/>
          <w:sz w:val="22"/>
          <w:szCs w:val="22"/>
        </w:rPr>
      </w:pPr>
    </w:p>
    <w:p w:rsidR="008E40E2" w:rsidRPr="008E40E2" w:rsidRDefault="008E40E2" w:rsidP="008E40E2">
      <w:pPr>
        <w:rPr>
          <w:rFonts w:ascii="Arial" w:hAnsi="Arial" w:cs="Arial"/>
          <w:sz w:val="22"/>
          <w:szCs w:val="22"/>
        </w:rPr>
      </w:pPr>
      <w:r w:rsidRPr="008E40E2">
        <w:rPr>
          <w:rFonts w:ascii="Arial" w:hAnsi="Arial" w:cs="Arial"/>
          <w:sz w:val="22"/>
          <w:szCs w:val="22"/>
        </w:rPr>
        <w:t>Testin tulkinnassa voi käyttää seuraavia suuntaa antavia pisterajoja:</w:t>
      </w:r>
    </w:p>
    <w:p w:rsidR="008E40E2" w:rsidRPr="008E40E2" w:rsidRDefault="008E40E2" w:rsidP="008E40E2">
      <w:pPr>
        <w:rPr>
          <w:rFonts w:ascii="Arial" w:hAnsi="Arial" w:cs="Arial"/>
          <w:sz w:val="22"/>
          <w:szCs w:val="22"/>
        </w:rPr>
      </w:pPr>
    </w:p>
    <w:p w:rsidR="008E40E2" w:rsidRPr="008E40E2" w:rsidRDefault="008E40E2" w:rsidP="008E40E2">
      <w:pPr>
        <w:rPr>
          <w:rFonts w:ascii="Arial" w:hAnsi="Arial" w:cs="Arial"/>
          <w:sz w:val="22"/>
          <w:szCs w:val="22"/>
        </w:rPr>
      </w:pPr>
      <w:r w:rsidRPr="008E40E2">
        <w:rPr>
          <w:rFonts w:ascii="Arial" w:hAnsi="Arial" w:cs="Arial"/>
          <w:b/>
          <w:sz w:val="22"/>
          <w:szCs w:val="22"/>
        </w:rPr>
        <w:t>alle 8 pistettä</w:t>
      </w:r>
    </w:p>
    <w:p w:rsidR="008E40E2" w:rsidRPr="008E40E2" w:rsidRDefault="008E40E2" w:rsidP="008E40E2">
      <w:pPr>
        <w:spacing w:after="120"/>
        <w:rPr>
          <w:rFonts w:ascii="Arial" w:hAnsi="Arial" w:cs="Arial"/>
          <w:b/>
          <w:i/>
          <w:color w:val="00B050"/>
          <w:sz w:val="22"/>
          <w:szCs w:val="22"/>
        </w:rPr>
      </w:pPr>
      <w:r w:rsidRPr="008E40E2">
        <w:rPr>
          <w:rFonts w:ascii="Arial" w:hAnsi="Arial" w:cs="Arial"/>
          <w:b/>
          <w:i/>
          <w:color w:val="00B050"/>
          <w:sz w:val="22"/>
          <w:szCs w:val="22"/>
        </w:rPr>
        <w:t xml:space="preserve">pieni riski </w:t>
      </w:r>
    </w:p>
    <w:p w:rsidR="008E40E2" w:rsidRPr="008E40E2" w:rsidRDefault="008E40E2" w:rsidP="001C6A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Varautumiseen ja </w:t>
      </w:r>
      <w:r w:rsidRPr="008E40E2">
        <w:rPr>
          <w:rFonts w:ascii="Arial" w:hAnsi="Arial" w:cs="Arial"/>
          <w:sz w:val="22"/>
          <w:szCs w:val="22"/>
        </w:rPr>
        <w:t>jatkuvuudenhallintaan on tietoisesti panostettu ja voitte jatkaa käytössä olevien toimintamallien</w:t>
      </w:r>
      <w:r w:rsidR="001C6A5D">
        <w:rPr>
          <w:rFonts w:ascii="Arial" w:hAnsi="Arial" w:cs="Arial"/>
          <w:sz w:val="22"/>
          <w:szCs w:val="22"/>
        </w:rPr>
        <w:t xml:space="preserve"> sekä menettelyiden</w:t>
      </w:r>
      <w:r w:rsidRPr="008E40E2">
        <w:rPr>
          <w:rFonts w:ascii="Arial" w:hAnsi="Arial" w:cs="Arial"/>
          <w:sz w:val="22"/>
          <w:szCs w:val="22"/>
        </w:rPr>
        <w:t xml:space="preserve"> mukaisesti</w:t>
      </w:r>
      <w:r>
        <w:rPr>
          <w:rFonts w:ascii="Arial" w:hAnsi="Arial" w:cs="Arial"/>
          <w:sz w:val="22"/>
          <w:szCs w:val="22"/>
        </w:rPr>
        <w:t>.</w:t>
      </w:r>
    </w:p>
    <w:p w:rsidR="008E40E2" w:rsidRDefault="008E40E2" w:rsidP="008E40E2">
      <w:pPr>
        <w:rPr>
          <w:rFonts w:ascii="Arial" w:hAnsi="Arial" w:cs="Arial"/>
          <w:sz w:val="22"/>
          <w:szCs w:val="22"/>
        </w:rPr>
      </w:pPr>
    </w:p>
    <w:p w:rsidR="001C6A5D" w:rsidRPr="008E40E2" w:rsidRDefault="001C6A5D" w:rsidP="008E40E2">
      <w:pPr>
        <w:rPr>
          <w:rFonts w:ascii="Arial" w:hAnsi="Arial" w:cs="Arial"/>
          <w:sz w:val="22"/>
          <w:szCs w:val="22"/>
        </w:rPr>
      </w:pPr>
    </w:p>
    <w:p w:rsidR="008E40E2" w:rsidRPr="008E40E2" w:rsidRDefault="008E40E2" w:rsidP="008E40E2">
      <w:pPr>
        <w:rPr>
          <w:rFonts w:ascii="Arial" w:hAnsi="Arial" w:cs="Arial"/>
          <w:sz w:val="22"/>
          <w:szCs w:val="22"/>
        </w:rPr>
      </w:pPr>
      <w:r w:rsidRPr="008E40E2">
        <w:rPr>
          <w:rFonts w:ascii="Arial" w:hAnsi="Arial" w:cs="Arial"/>
          <w:b/>
          <w:sz w:val="22"/>
          <w:szCs w:val="22"/>
        </w:rPr>
        <w:t>8 - 14 pistettä</w:t>
      </w:r>
    </w:p>
    <w:p w:rsidR="008E40E2" w:rsidRPr="008E40E2" w:rsidRDefault="008E40E2" w:rsidP="008E40E2">
      <w:pPr>
        <w:spacing w:after="120"/>
        <w:rPr>
          <w:rFonts w:ascii="Arial" w:hAnsi="Arial" w:cs="Arial"/>
          <w:b/>
          <w:i/>
          <w:color w:val="92D050"/>
          <w:sz w:val="22"/>
          <w:szCs w:val="22"/>
        </w:rPr>
      </w:pPr>
      <w:r w:rsidRPr="008E40E2">
        <w:rPr>
          <w:rFonts w:ascii="Arial" w:hAnsi="Arial" w:cs="Arial"/>
          <w:b/>
          <w:i/>
          <w:color w:val="92D050"/>
          <w:sz w:val="22"/>
          <w:szCs w:val="22"/>
        </w:rPr>
        <w:t>riski jonkin verran lisääntynyt</w:t>
      </w:r>
    </w:p>
    <w:p w:rsidR="008E40E2" w:rsidRPr="008E40E2" w:rsidRDefault="008E40E2" w:rsidP="008E40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Varautumisessa ja </w:t>
      </w:r>
      <w:r w:rsidRPr="008E40E2">
        <w:rPr>
          <w:rFonts w:ascii="Arial" w:hAnsi="Arial" w:cs="Arial"/>
          <w:sz w:val="22"/>
          <w:szCs w:val="22"/>
        </w:rPr>
        <w:t>jatkuvuudenhallinnassa on yksittäisiä puutteita, jotka kannattaa korjata</w:t>
      </w:r>
      <w:r>
        <w:rPr>
          <w:rFonts w:ascii="Arial" w:hAnsi="Arial" w:cs="Arial"/>
          <w:sz w:val="22"/>
          <w:szCs w:val="22"/>
        </w:rPr>
        <w:t>.</w:t>
      </w:r>
    </w:p>
    <w:p w:rsidR="008E40E2" w:rsidRDefault="008E40E2" w:rsidP="008E40E2">
      <w:pPr>
        <w:rPr>
          <w:rFonts w:ascii="Arial" w:hAnsi="Arial" w:cs="Arial"/>
          <w:sz w:val="22"/>
          <w:szCs w:val="22"/>
        </w:rPr>
      </w:pPr>
    </w:p>
    <w:p w:rsidR="001C6A5D" w:rsidRPr="008E40E2" w:rsidRDefault="001C6A5D" w:rsidP="008E40E2">
      <w:pPr>
        <w:rPr>
          <w:rFonts w:ascii="Arial" w:hAnsi="Arial" w:cs="Arial"/>
          <w:sz w:val="22"/>
          <w:szCs w:val="22"/>
        </w:rPr>
      </w:pPr>
    </w:p>
    <w:p w:rsidR="008E40E2" w:rsidRPr="008E40E2" w:rsidRDefault="008E40E2" w:rsidP="008E40E2">
      <w:pPr>
        <w:rPr>
          <w:rFonts w:ascii="Arial" w:hAnsi="Arial" w:cs="Arial"/>
          <w:sz w:val="22"/>
          <w:szCs w:val="22"/>
        </w:rPr>
      </w:pPr>
      <w:r w:rsidRPr="008E40E2">
        <w:rPr>
          <w:rFonts w:ascii="Arial" w:hAnsi="Arial" w:cs="Arial"/>
          <w:b/>
          <w:sz w:val="22"/>
          <w:szCs w:val="22"/>
        </w:rPr>
        <w:t>15 - 25 pistettä</w:t>
      </w:r>
    </w:p>
    <w:p w:rsidR="008E40E2" w:rsidRPr="008E40E2" w:rsidRDefault="008E40E2" w:rsidP="008E40E2">
      <w:pPr>
        <w:spacing w:after="120"/>
        <w:rPr>
          <w:rFonts w:ascii="Arial" w:hAnsi="Arial" w:cs="Arial"/>
          <w:b/>
          <w:i/>
          <w:color w:val="FFC000"/>
          <w:sz w:val="22"/>
          <w:szCs w:val="22"/>
        </w:rPr>
      </w:pPr>
      <w:r w:rsidRPr="008E40E2">
        <w:rPr>
          <w:rFonts w:ascii="Arial" w:hAnsi="Arial" w:cs="Arial"/>
          <w:b/>
          <w:i/>
          <w:color w:val="FFC000"/>
          <w:sz w:val="22"/>
          <w:szCs w:val="22"/>
        </w:rPr>
        <w:t>riski kohtalainen</w:t>
      </w:r>
    </w:p>
    <w:p w:rsidR="008E40E2" w:rsidRPr="008E40E2" w:rsidRDefault="008E40E2" w:rsidP="008E40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Varautumisessa ja </w:t>
      </w:r>
      <w:r w:rsidRPr="008E40E2">
        <w:rPr>
          <w:rFonts w:ascii="Arial" w:hAnsi="Arial" w:cs="Arial"/>
          <w:sz w:val="22"/>
          <w:szCs w:val="22"/>
        </w:rPr>
        <w:t xml:space="preserve">jatkuvuudenhallinnassa on selkeitä puutteita, suositeltavaa analysoida </w:t>
      </w:r>
      <w:r>
        <w:rPr>
          <w:rFonts w:ascii="Arial" w:hAnsi="Arial" w:cs="Arial"/>
          <w:sz w:val="22"/>
          <w:szCs w:val="22"/>
        </w:rPr>
        <w:t xml:space="preserve">varautumista ja </w:t>
      </w:r>
      <w:r w:rsidRPr="008E40E2">
        <w:rPr>
          <w:rFonts w:ascii="Arial" w:hAnsi="Arial" w:cs="Arial"/>
          <w:sz w:val="22"/>
          <w:szCs w:val="22"/>
        </w:rPr>
        <w:t>jatkuvuudenhallintaa tarkemmilla kypsyysanalyysimalleilla</w:t>
      </w:r>
      <w:r>
        <w:rPr>
          <w:rFonts w:ascii="Arial" w:hAnsi="Arial" w:cs="Arial"/>
          <w:sz w:val="22"/>
          <w:szCs w:val="22"/>
        </w:rPr>
        <w:t xml:space="preserve"> (esimerkiksi KUJA-arviointimalli)</w:t>
      </w:r>
      <w:r w:rsidRPr="008E40E2">
        <w:rPr>
          <w:rFonts w:ascii="Arial" w:hAnsi="Arial" w:cs="Arial"/>
          <w:sz w:val="22"/>
          <w:szCs w:val="22"/>
        </w:rPr>
        <w:t xml:space="preserve"> sekä kehittää hallintamenetelmiä</w:t>
      </w:r>
      <w:r w:rsidR="001C6A5D">
        <w:rPr>
          <w:rFonts w:ascii="Arial" w:hAnsi="Arial" w:cs="Arial"/>
          <w:sz w:val="22"/>
          <w:szCs w:val="22"/>
        </w:rPr>
        <w:t>.</w:t>
      </w:r>
    </w:p>
    <w:p w:rsidR="008E40E2" w:rsidRDefault="008E40E2" w:rsidP="008E40E2">
      <w:pPr>
        <w:rPr>
          <w:rFonts w:ascii="Arial" w:hAnsi="Arial" w:cs="Arial"/>
          <w:sz w:val="22"/>
          <w:szCs w:val="22"/>
        </w:rPr>
      </w:pPr>
    </w:p>
    <w:p w:rsidR="001C6A5D" w:rsidRPr="008E40E2" w:rsidRDefault="001C6A5D" w:rsidP="008E40E2">
      <w:pPr>
        <w:rPr>
          <w:rFonts w:ascii="Arial" w:hAnsi="Arial" w:cs="Arial"/>
          <w:sz w:val="22"/>
          <w:szCs w:val="22"/>
        </w:rPr>
      </w:pPr>
    </w:p>
    <w:p w:rsidR="008E40E2" w:rsidRPr="008E40E2" w:rsidRDefault="008E40E2" w:rsidP="008E40E2">
      <w:pPr>
        <w:rPr>
          <w:rFonts w:ascii="Arial" w:hAnsi="Arial" w:cs="Arial"/>
          <w:sz w:val="22"/>
          <w:szCs w:val="22"/>
        </w:rPr>
      </w:pPr>
      <w:r w:rsidRPr="008E40E2">
        <w:rPr>
          <w:rFonts w:ascii="Arial" w:hAnsi="Arial" w:cs="Arial"/>
          <w:b/>
          <w:sz w:val="22"/>
          <w:szCs w:val="22"/>
        </w:rPr>
        <w:t>26 - 40 pistettä</w:t>
      </w:r>
    </w:p>
    <w:p w:rsidR="008E40E2" w:rsidRPr="008E40E2" w:rsidRDefault="008E40E2" w:rsidP="008E40E2">
      <w:pPr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  <w:r w:rsidRPr="008E40E2">
        <w:rPr>
          <w:rFonts w:ascii="Arial" w:hAnsi="Arial" w:cs="Arial"/>
          <w:b/>
          <w:i/>
          <w:color w:val="FF0000"/>
          <w:sz w:val="22"/>
          <w:szCs w:val="22"/>
        </w:rPr>
        <w:t>riski suuri</w:t>
      </w:r>
    </w:p>
    <w:p w:rsidR="001C6A5D" w:rsidRDefault="001C6A5D" w:rsidP="008E40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E40E2">
        <w:rPr>
          <w:rFonts w:ascii="Arial" w:hAnsi="Arial" w:cs="Arial"/>
          <w:sz w:val="22"/>
          <w:szCs w:val="22"/>
        </w:rPr>
        <w:t xml:space="preserve">arautumisessa ja </w:t>
      </w:r>
      <w:r w:rsidR="008E40E2" w:rsidRPr="008E40E2">
        <w:rPr>
          <w:rFonts w:ascii="Arial" w:hAnsi="Arial" w:cs="Arial"/>
          <w:sz w:val="22"/>
          <w:szCs w:val="22"/>
        </w:rPr>
        <w:t>jatkuvuudenhallinnassa on selkeitä ja vakavia puutteita jotka saattavat johtaa häiriötilanteessa vakaviin seurauksiin, erittäin suositeltavaa alkaa välittömästi rakentaa jatkuvuudenhallinnan kehittämisenpolkua sekä hallintamenetelmiä tarkemmilla kypsyysanalyysi- ja suunnittelumalleilla</w:t>
      </w:r>
      <w:r>
        <w:rPr>
          <w:rFonts w:ascii="Arial" w:hAnsi="Arial" w:cs="Arial"/>
          <w:sz w:val="22"/>
          <w:szCs w:val="22"/>
        </w:rPr>
        <w:t xml:space="preserve"> </w:t>
      </w:r>
    </w:p>
    <w:p w:rsidR="008E40E2" w:rsidRPr="008E40E2" w:rsidRDefault="001C6A5D" w:rsidP="008E40E2">
      <w:pPr>
        <w:rPr>
          <w:rFonts w:ascii="Arial" w:hAnsi="Arial" w:cs="Arial"/>
          <w:sz w:val="22"/>
          <w:szCs w:val="22"/>
        </w:rPr>
      </w:pPr>
      <w:r w:rsidRPr="001C6A5D">
        <w:rPr>
          <w:rFonts w:ascii="Arial" w:hAnsi="Arial" w:cs="Arial"/>
          <w:sz w:val="22"/>
          <w:szCs w:val="22"/>
        </w:rPr>
        <w:t>(esimerkiksi KUJA-arviointimalli)</w:t>
      </w:r>
      <w:r>
        <w:rPr>
          <w:rFonts w:ascii="Arial" w:hAnsi="Arial" w:cs="Arial"/>
          <w:sz w:val="22"/>
          <w:szCs w:val="22"/>
        </w:rPr>
        <w:t>.</w:t>
      </w:r>
    </w:p>
    <w:p w:rsidR="00E23469" w:rsidRDefault="00E23469"/>
    <w:sectPr w:rsidR="00E23469" w:rsidSect="00E23469">
      <w:footerReference w:type="default" r:id="rId7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E1" w:rsidRDefault="008645E1" w:rsidP="002240B4">
      <w:r>
        <w:separator/>
      </w:r>
    </w:p>
  </w:endnote>
  <w:endnote w:type="continuationSeparator" w:id="0">
    <w:p w:rsidR="008645E1" w:rsidRDefault="008645E1" w:rsidP="0022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B4" w:rsidRDefault="002240B4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9D41C" wp14:editId="1A2AFF14">
              <wp:simplePos x="0" y="0"/>
              <wp:positionH relativeFrom="column">
                <wp:posOffset>8267065</wp:posOffset>
              </wp:positionH>
              <wp:positionV relativeFrom="paragraph">
                <wp:posOffset>33655</wp:posOffset>
              </wp:positionV>
              <wp:extent cx="1514475" cy="342900"/>
              <wp:effectExtent l="0" t="0" r="9525" b="0"/>
              <wp:wrapNone/>
              <wp:docPr id="2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447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240B4" w:rsidRPr="00F41A08" w:rsidRDefault="002240B4" w:rsidP="002240B4">
                          <w:pPr>
                            <w:rPr>
                              <w:color w:val="A6A6A6" w:themeColor="background1" w:themeShade="A6"/>
                            </w:rPr>
                          </w:pPr>
                          <w:r w:rsidRPr="00F41A08">
                            <w:rPr>
                              <w:rFonts w:cstheme="minorHAnsi"/>
                              <w:color w:val="A6A6A6" w:themeColor="background1" w:themeShade="A6"/>
                            </w:rPr>
                            <w:t>©</w:t>
                          </w:r>
                          <w:r w:rsidRPr="00F41A08">
                            <w:rPr>
                              <w:color w:val="A6A6A6" w:themeColor="background1" w:themeShade="A6"/>
                            </w:rPr>
                            <w:t xml:space="preserve"> </w:t>
                          </w:r>
                          <w:r>
                            <w:rPr>
                              <w:color w:val="A6A6A6" w:themeColor="background1" w:themeShade="A6"/>
                            </w:rPr>
                            <w:t xml:space="preserve">2015 </w:t>
                          </w:r>
                          <w:r w:rsidRPr="00F41A08">
                            <w:rPr>
                              <w:color w:val="A6A6A6" w:themeColor="background1" w:themeShade="A6"/>
                            </w:rPr>
                            <w:t>Jaakko Pekki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9D41C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650.95pt;margin-top:2.65pt;width:11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" fillcolor="window" stroked="f" strokeweight=".5pt">
              <v:path arrowok="t"/>
              <v:textbox>
                <w:txbxContent>
                  <w:p w:rsidR="002240B4" w:rsidRPr="00F41A08" w:rsidRDefault="002240B4" w:rsidP="002240B4">
                    <w:pPr>
                      <w:rPr>
                        <w:color w:val="A6A6A6" w:themeColor="background1" w:themeShade="A6"/>
                      </w:rPr>
                    </w:pPr>
                    <w:r w:rsidRPr="00F41A08">
                      <w:rPr>
                        <w:rFonts w:cstheme="minorHAnsi"/>
                        <w:color w:val="A6A6A6" w:themeColor="background1" w:themeShade="A6"/>
                      </w:rPr>
                      <w:t>©</w:t>
                    </w:r>
                    <w:r w:rsidRPr="00F41A08">
                      <w:rPr>
                        <w:color w:val="A6A6A6" w:themeColor="background1" w:themeShade="A6"/>
                      </w:rPr>
                      <w:t xml:space="preserve"> </w:t>
                    </w:r>
                    <w:r>
                      <w:rPr>
                        <w:color w:val="A6A6A6" w:themeColor="background1" w:themeShade="A6"/>
                      </w:rPr>
                      <w:t xml:space="preserve">2015 </w:t>
                    </w:r>
                    <w:r w:rsidRPr="00F41A08">
                      <w:rPr>
                        <w:color w:val="A6A6A6" w:themeColor="background1" w:themeShade="A6"/>
                      </w:rPr>
                      <w:t>Jaakko Pekki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E1" w:rsidRDefault="008645E1" w:rsidP="002240B4">
      <w:r>
        <w:separator/>
      </w:r>
    </w:p>
  </w:footnote>
  <w:footnote w:type="continuationSeparator" w:id="0">
    <w:p w:rsidR="008645E1" w:rsidRDefault="008645E1" w:rsidP="00224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FAC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0E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695FBD"/>
    <w:multiLevelType w:val="multilevel"/>
    <w:tmpl w:val="018EE2E6"/>
    <w:styleLink w:val="Otsikkonumerointi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</w:abstractNum>
  <w:abstractNum w:abstractNumId="3" w15:restartNumberingAfterBreak="0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4" w15:restartNumberingAfterBreak="0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3"/>
  </w:num>
  <w:num w:numId="9">
    <w:abstractNumId w:val="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4"/>
  </w:num>
  <w:num w:numId="16">
    <w:abstractNumId w:val="3"/>
  </w:num>
  <w:num w:numId="17">
    <w:abstractNumId w:val="4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4"/>
  </w:num>
  <w:num w:numId="24">
    <w:abstractNumId w:val="3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rpB27Q/yJ0cCC4AF8UiV7NrhXwjOQGdbD3xkEosSFxXfU3xBIsJ79dpwiqHFgajS9BNpuXbFIcfW8Uh95w7gA==" w:salt="YPvPRFkOW/7xFGTsPlcfQg==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69"/>
    <w:rsid w:val="0003107A"/>
    <w:rsid w:val="00036B7D"/>
    <w:rsid w:val="00135289"/>
    <w:rsid w:val="001B66C3"/>
    <w:rsid w:val="001C6A5D"/>
    <w:rsid w:val="002240B4"/>
    <w:rsid w:val="00241673"/>
    <w:rsid w:val="002B5710"/>
    <w:rsid w:val="002D0B75"/>
    <w:rsid w:val="002F32BB"/>
    <w:rsid w:val="00302662"/>
    <w:rsid w:val="003D21F9"/>
    <w:rsid w:val="004956F1"/>
    <w:rsid w:val="005E3BDF"/>
    <w:rsid w:val="00675B3E"/>
    <w:rsid w:val="007A02E2"/>
    <w:rsid w:val="007E4DCF"/>
    <w:rsid w:val="00823916"/>
    <w:rsid w:val="0084536E"/>
    <w:rsid w:val="008645E1"/>
    <w:rsid w:val="008C14AD"/>
    <w:rsid w:val="008E40E2"/>
    <w:rsid w:val="00B24E92"/>
    <w:rsid w:val="00B840C4"/>
    <w:rsid w:val="00BA7D53"/>
    <w:rsid w:val="00BE1C99"/>
    <w:rsid w:val="00C4633F"/>
    <w:rsid w:val="00DE13A8"/>
    <w:rsid w:val="00DE4B63"/>
    <w:rsid w:val="00E13037"/>
    <w:rsid w:val="00E23469"/>
    <w:rsid w:val="00E5063B"/>
    <w:rsid w:val="00E9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EF45C-ADC9-4BA8-A651-C9A9C550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36B7D"/>
    <w:pPr>
      <w:spacing w:after="0" w:line="240" w:lineRule="auto"/>
    </w:pPr>
    <w:rPr>
      <w:sz w:val="18"/>
      <w:szCs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2F32BB"/>
    <w:pPr>
      <w:keepNext/>
      <w:keepLines/>
      <w:numPr>
        <w:numId w:val="26"/>
      </w:numPr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2F32BB"/>
    <w:pPr>
      <w:keepNext/>
      <w:keepLines/>
      <w:numPr>
        <w:ilvl w:val="1"/>
        <w:numId w:val="26"/>
      </w:numPr>
      <w:spacing w:after="1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2F32BB"/>
    <w:pPr>
      <w:keepNext/>
      <w:keepLines/>
      <w:numPr>
        <w:ilvl w:val="2"/>
        <w:numId w:val="26"/>
      </w:numPr>
      <w:spacing w:after="18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2F32BB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2F32BB"/>
    <w:rPr>
      <w:sz w:val="18"/>
      <w:szCs w:val="18"/>
    </w:rPr>
  </w:style>
  <w:style w:type="table" w:customStyle="1" w:styleId="Eiruudukkoa">
    <w:name w:val="Ei ruudukkoa"/>
    <w:basedOn w:val="Normaalitaulukko"/>
    <w:uiPriority w:val="99"/>
    <w:rsid w:val="002F32BB"/>
    <w:pPr>
      <w:spacing w:after="0" w:line="240" w:lineRule="auto"/>
    </w:pPr>
    <w:rPr>
      <w:sz w:val="18"/>
      <w:szCs w:val="18"/>
    </w:rPr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2F32BB"/>
    <w:rPr>
      <w:rFonts w:asciiTheme="majorHAnsi" w:eastAsiaTheme="majorEastAsia" w:hAnsiTheme="majorHAnsi" w:cstheme="majorBidi"/>
      <w:b/>
      <w:bCs/>
      <w:sz w:val="1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2F32BB"/>
    <w:rPr>
      <w:rFonts w:asciiTheme="majorHAnsi" w:eastAsiaTheme="majorEastAsia" w:hAnsiTheme="majorHAnsi" w:cstheme="majorBidi"/>
      <w:b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F32BB"/>
    <w:rPr>
      <w:rFonts w:asciiTheme="majorHAnsi" w:eastAsiaTheme="majorEastAsia" w:hAnsiTheme="majorHAnsi" w:cstheme="majorBidi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2F32BB"/>
    <w:pPr>
      <w:numPr>
        <w:numId w:val="24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2F32BB"/>
    <w:pPr>
      <w:numPr>
        <w:numId w:val="25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2F32BB"/>
    <w:pPr>
      <w:spacing w:after="0" w:line="240" w:lineRule="auto"/>
      <w:ind w:left="1304"/>
    </w:pPr>
    <w:rPr>
      <w:sz w:val="18"/>
      <w:szCs w:val="18"/>
    </w:r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2F32BB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2F32BB"/>
    <w:rPr>
      <w:rFonts w:asciiTheme="majorHAnsi" w:eastAsiaTheme="majorEastAsia" w:hAnsiTheme="majorHAnsi" w:cstheme="majorBidi"/>
      <w:b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  <w:style w:type="paragraph" w:styleId="NormaaliWWW">
    <w:name w:val="Normal (Web)"/>
    <w:basedOn w:val="Normaali"/>
    <w:uiPriority w:val="99"/>
    <w:semiHidden/>
    <w:unhideWhenUsed/>
    <w:rsid w:val="000310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4466</Characters>
  <Application>Microsoft Office Word</Application>
  <DocSecurity>4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 ry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Pekki Jaakko</dc:creator>
  <cp:lastModifiedBy>Tanskanen Marketta</cp:lastModifiedBy>
  <cp:revision>2</cp:revision>
  <dcterms:created xsi:type="dcterms:W3CDTF">2019-06-03T10:10:00Z</dcterms:created>
  <dcterms:modified xsi:type="dcterms:W3CDTF">2019-06-03T10:10:00Z</dcterms:modified>
</cp:coreProperties>
</file>