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86" w:rsidRPr="008A579E" w:rsidRDefault="005064A0" w:rsidP="00DF6E86">
      <w:r>
        <w:t>Edus</w:t>
      </w:r>
      <w:r w:rsidR="00E91F59">
        <w:t xml:space="preserve">kunnan </w:t>
      </w:r>
      <w:r w:rsidR="00E91F59" w:rsidRPr="008A579E">
        <w:t>sosiaali- ja terveysvaliokunta</w:t>
      </w:r>
    </w:p>
    <w:p w:rsidR="00DF6E86" w:rsidRPr="008A579E" w:rsidRDefault="00DF6E86" w:rsidP="00DF6E86"/>
    <w:p w:rsidR="00DF6E86" w:rsidRPr="008A579E" w:rsidRDefault="00DF6E86" w:rsidP="00DF6E86"/>
    <w:p w:rsidR="00497369" w:rsidRDefault="00497369" w:rsidP="00DC064E"/>
    <w:p w:rsidR="00497369" w:rsidRDefault="00497369" w:rsidP="00DC064E"/>
    <w:p w:rsidR="00497369" w:rsidRDefault="00497369" w:rsidP="00DC064E"/>
    <w:p w:rsidR="00DC064E" w:rsidRPr="008A579E" w:rsidRDefault="005064A0" w:rsidP="00DC064E">
      <w:r w:rsidRPr="008A579E">
        <w:t>Lausunto</w:t>
      </w:r>
      <w:r w:rsidR="00E91F59" w:rsidRPr="008A579E">
        <w:t>pyyntönne 27.6</w:t>
      </w:r>
      <w:r w:rsidR="004C3CCB" w:rsidRPr="008A579E">
        <w:t>.2018</w:t>
      </w:r>
    </w:p>
    <w:p w:rsidR="00DF6E86" w:rsidRPr="008A579E" w:rsidRDefault="00DF6E86" w:rsidP="00DF6E86"/>
    <w:p w:rsidR="00E91F59" w:rsidRPr="008A579E" w:rsidRDefault="00E91F59" w:rsidP="005064A0">
      <w:pPr>
        <w:pStyle w:val="Otsikko"/>
      </w:pPr>
      <w:r w:rsidRPr="008A579E">
        <w:t xml:space="preserve">HE </w:t>
      </w:r>
      <w:r w:rsidR="00DE5CB6" w:rsidRPr="008A579E">
        <w:t>15/2017 vp</w:t>
      </w:r>
      <w:r w:rsidR="008439DC">
        <w:t xml:space="preserve"> ja</w:t>
      </w:r>
      <w:r w:rsidRPr="008A579E">
        <w:t xml:space="preserve"> </w:t>
      </w:r>
      <w:r w:rsidR="005064A0" w:rsidRPr="008A579E">
        <w:t>HE 16/2018 vp</w:t>
      </w:r>
    </w:p>
    <w:p w:rsidR="00A17AA6" w:rsidRPr="008A579E" w:rsidRDefault="00E91F59" w:rsidP="005064A0">
      <w:pPr>
        <w:pStyle w:val="Otsikko"/>
      </w:pPr>
      <w:r w:rsidRPr="008A579E">
        <w:t>Teema: Erityisesti rahoituksen ja vaiheistuksen osalta</w:t>
      </w:r>
    </w:p>
    <w:p w:rsidR="00752664" w:rsidRPr="008A579E" w:rsidRDefault="00752664" w:rsidP="00752664">
      <w:pPr>
        <w:pStyle w:val="Luettelokappale"/>
        <w:ind w:left="0"/>
        <w:rPr>
          <w:rFonts w:asciiTheme="majorHAnsi" w:hAnsiTheme="majorHAnsi"/>
          <w:b/>
        </w:rPr>
      </w:pPr>
      <w:r w:rsidRPr="008A579E">
        <w:rPr>
          <w:rFonts w:asciiTheme="majorHAnsi" w:hAnsiTheme="majorHAnsi"/>
          <w:b/>
        </w:rPr>
        <w:t xml:space="preserve">Maakuntien rahoituksen perusongelmat säilyvät </w:t>
      </w:r>
      <w:bookmarkStart w:id="0" w:name="_GoBack"/>
      <w:bookmarkEnd w:id="0"/>
    </w:p>
    <w:p w:rsidR="00752664" w:rsidRPr="008A579E" w:rsidRDefault="00752664" w:rsidP="00752664">
      <w:pPr>
        <w:rPr>
          <w:rFonts w:asciiTheme="majorHAnsi" w:hAnsiTheme="majorHAnsi"/>
          <w:b/>
        </w:rPr>
      </w:pPr>
    </w:p>
    <w:p w:rsidR="00752664" w:rsidRPr="008A579E" w:rsidRDefault="00752664" w:rsidP="00752664">
      <w:pPr>
        <w:pStyle w:val="Luettelokappale"/>
        <w:ind w:left="1304"/>
        <w:rPr>
          <w:rFonts w:asciiTheme="majorHAnsi" w:hAnsiTheme="majorHAnsi"/>
        </w:rPr>
      </w:pPr>
      <w:r w:rsidRPr="008A579E">
        <w:rPr>
          <w:rFonts w:asciiTheme="majorHAnsi" w:hAnsiTheme="majorHAnsi"/>
        </w:rPr>
        <w:t xml:space="preserve">Kuntaliitto toteaa, että hallituksen vastineen jälkeenkin liiton aiemmat lausunnot mm. sosiaali- ja terveysvaliokunnalle sekä valtiovarainvaliokunnalle ovat maakuntien talouden ja rahoituksen osalta edelleen </w:t>
      </w:r>
      <w:r w:rsidR="00E24624" w:rsidRPr="008A579E">
        <w:rPr>
          <w:rFonts w:asciiTheme="majorHAnsi" w:hAnsiTheme="majorHAnsi"/>
        </w:rPr>
        <w:t>relevantteja</w:t>
      </w:r>
      <w:r w:rsidRPr="008A579E">
        <w:rPr>
          <w:rFonts w:asciiTheme="majorHAnsi" w:hAnsiTheme="majorHAnsi"/>
        </w:rPr>
        <w:t xml:space="preserve">. Hallituksen vastineessa esitetyt muutokset maakuntien rahoitukseen eivät muuta sitä kokonaistilannetta, että maakuntien rahoituspohja on hyvin kireä, </w:t>
      </w:r>
      <w:r w:rsidR="00E24624" w:rsidRPr="008A579E">
        <w:rPr>
          <w:rFonts w:asciiTheme="majorHAnsi" w:hAnsiTheme="majorHAnsi"/>
        </w:rPr>
        <w:t xml:space="preserve">maakuntien </w:t>
      </w:r>
      <w:r w:rsidRPr="008A579E">
        <w:rPr>
          <w:rFonts w:asciiTheme="majorHAnsi" w:hAnsiTheme="majorHAnsi"/>
        </w:rPr>
        <w:t xml:space="preserve">omat keinot vaikuttaa talouteen ovat vähäiset, kannustimet tehokkaaseen taloudenpitoon ovat puutteelliset ja valtion ohjaus on liian vahvaa.   </w:t>
      </w:r>
    </w:p>
    <w:p w:rsidR="00752664" w:rsidRPr="008A579E" w:rsidRDefault="00752664" w:rsidP="00752664">
      <w:pPr>
        <w:pStyle w:val="Luettelokappale"/>
        <w:ind w:left="1304"/>
        <w:rPr>
          <w:rFonts w:asciiTheme="majorHAnsi" w:hAnsiTheme="majorHAnsi"/>
        </w:rPr>
      </w:pPr>
    </w:p>
    <w:p w:rsidR="00752664" w:rsidRPr="008A579E" w:rsidRDefault="00752664" w:rsidP="00752664">
      <w:pPr>
        <w:pStyle w:val="Luettelokappale"/>
        <w:ind w:left="1304"/>
        <w:rPr>
          <w:rFonts w:asciiTheme="majorHAnsi" w:hAnsiTheme="majorHAnsi"/>
        </w:rPr>
      </w:pPr>
      <w:r w:rsidRPr="008A579E">
        <w:rPr>
          <w:rFonts w:asciiTheme="majorHAnsi" w:hAnsiTheme="majorHAnsi"/>
        </w:rPr>
        <w:t xml:space="preserve">Keskeisimmät muutosehdotukset hallituksen vastineessa liittyvät maakuntien rahoituslain 5-8 §:ään, jotka koskevat maakuntien rahoituksen tasoa sekä lisärahoitusta ongelmatilanteissa. Vastineessa esitetään uutena ehdotuksena, että </w:t>
      </w:r>
    </w:p>
    <w:p w:rsidR="00752664" w:rsidRPr="008A579E" w:rsidRDefault="00752664" w:rsidP="00752664">
      <w:pPr>
        <w:pStyle w:val="Luettelokappale"/>
        <w:ind w:left="1304"/>
        <w:rPr>
          <w:rFonts w:asciiTheme="majorHAnsi" w:hAnsiTheme="majorHAnsi"/>
        </w:rPr>
      </w:pPr>
    </w:p>
    <w:p w:rsidR="00752664" w:rsidRPr="008A579E" w:rsidRDefault="00752664" w:rsidP="00752664">
      <w:pPr>
        <w:pStyle w:val="Luettelokappale"/>
        <w:ind w:left="2608"/>
        <w:rPr>
          <w:rFonts w:ascii="Times New Roman" w:hAnsi="Times New Roman" w:cs="Times New Roman"/>
          <w:i/>
          <w:iCs/>
          <w:sz w:val="21"/>
          <w:szCs w:val="21"/>
        </w:rPr>
      </w:pPr>
      <w:r w:rsidRPr="008A579E">
        <w:rPr>
          <w:rFonts w:ascii="Times New Roman" w:hAnsi="Times New Roman" w:cs="Times New Roman"/>
          <w:i/>
          <w:iCs/>
          <w:sz w:val="21"/>
          <w:szCs w:val="21"/>
        </w:rPr>
        <w:t>Jos rahoituksen taso muutoin vaarantaisi riittävien sosiaali- ja terveyspalvelujen turvaamisen useammassa kuin seitsemässä maakunnassa tai maakunnissa, joiden asukasmäärä on yhteensä enemmän kuin 40 prosenttia koko maan asukasmäärästä, tasoa on korotettava sillä määrällä, joka on tarpeen riittävien sosiaali- ja terveyspalvelujen turvaamiseksi sen jälkeen, kun on otettu huomioon maakunnan edellytykset varautua muiden lakisääteisten velvoitteidensa hoitamiseen. Korotus otetaan huomioon 3 luvun laskennallisten kustannusten perusteiden tarkistamisessa. Muissa tilanteissa, joissa rahoituksen taso muutoin vaarantaisi riittävien sosiaali- ja terveyspalvelujen turvaamisen, maakunnan rahoituksen korottamiseen sovelletaan 7 §:ää.</w:t>
      </w:r>
    </w:p>
    <w:p w:rsidR="00752664" w:rsidRPr="008A579E" w:rsidRDefault="00752664" w:rsidP="00752664">
      <w:pPr>
        <w:pStyle w:val="Luettelokappale"/>
        <w:ind w:left="1304"/>
        <w:rPr>
          <w:rFonts w:asciiTheme="majorHAnsi" w:hAnsiTheme="majorHAnsi"/>
        </w:rPr>
      </w:pPr>
    </w:p>
    <w:p w:rsidR="00752664" w:rsidRPr="008A579E" w:rsidRDefault="00752664" w:rsidP="00752664">
      <w:pPr>
        <w:pStyle w:val="Luettelokappale"/>
        <w:ind w:left="1304"/>
        <w:rPr>
          <w:rFonts w:asciiTheme="majorHAnsi" w:hAnsiTheme="majorHAnsi"/>
        </w:rPr>
      </w:pPr>
      <w:r w:rsidRPr="008A579E">
        <w:rPr>
          <w:rFonts w:asciiTheme="majorHAnsi" w:hAnsiTheme="majorHAnsi"/>
        </w:rPr>
        <w:t xml:space="preserve">Kuntaliitto pitää ongelmallisena, että keinotekoisesti määritellään tämän tyyppisiä raja-arvoja sille, milloin sosiaali- ja terveyspalveluiden rahoituksen tasoa on korotettava, kun rahoitus ei </w:t>
      </w:r>
      <w:r w:rsidR="003D0071" w:rsidRPr="008A579E">
        <w:rPr>
          <w:rFonts w:asciiTheme="majorHAnsi" w:hAnsiTheme="majorHAnsi"/>
        </w:rPr>
        <w:t xml:space="preserve">ole riittävä </w:t>
      </w:r>
      <w:r w:rsidRPr="008A579E">
        <w:rPr>
          <w:rFonts w:asciiTheme="majorHAnsi" w:hAnsiTheme="majorHAnsi"/>
        </w:rPr>
        <w:t xml:space="preserve">sosiaali- ja terveyspalvelujen järjestämiseen. Vastineen muutosehdotusta voidaan tulkita, että maakuntien rahoituksen taso on riittävä, vaikka palveluita ei kyetä turvaamaan 39 prosentille väestöstä.    </w:t>
      </w:r>
    </w:p>
    <w:p w:rsidR="00752664" w:rsidRPr="008A579E" w:rsidRDefault="00752664" w:rsidP="00752664">
      <w:pPr>
        <w:pStyle w:val="Luettelokappale"/>
        <w:ind w:left="1304"/>
        <w:rPr>
          <w:rFonts w:asciiTheme="majorHAnsi" w:hAnsiTheme="majorHAnsi"/>
        </w:rPr>
      </w:pPr>
    </w:p>
    <w:p w:rsidR="00752664" w:rsidRPr="008A579E" w:rsidRDefault="00752664" w:rsidP="00752664">
      <w:pPr>
        <w:pStyle w:val="Luettelokappale"/>
        <w:ind w:left="1304"/>
        <w:rPr>
          <w:rFonts w:asciiTheme="majorHAnsi" w:hAnsiTheme="majorHAnsi"/>
        </w:rPr>
      </w:pPr>
      <w:r w:rsidRPr="008A579E">
        <w:rPr>
          <w:rFonts w:asciiTheme="majorHAnsi" w:hAnsiTheme="majorHAnsi"/>
        </w:rPr>
        <w:t xml:space="preserve">Kuntaliitto pitää sinänsä hyvänä, että vastineessa muokattu maakunnan lisärahoitusta koskeva 7 § osaltaan turvaa yksittäisen maakunnan rahoituksen riittävyyttä. Hallituksen vastineen logiikan mukaan tätä pykälää sovellettaisiin, mikäli 1-7 maakuntaa olisivat lisärahoituksen tarpeessa (tai alle 40 prosenttia väestöstä). Keskeinen ongelma on, että tämä yksittäiselle maakunnalle myönnettävä lisärahoitus vähennetään 5 §:n mukaan kaikkien maakuntien rahoituksen perusteesta. Talouden suunnittelun ja taloudellisten kannustimien näkökulmasta on ongelmallista, että maakunnan rahoitukseen vaikuttaa suoraan muiden maakuntien tilanne ja käyttäytyminen. </w:t>
      </w:r>
      <w:r w:rsidR="00B4237B" w:rsidRPr="008A579E">
        <w:rPr>
          <w:rFonts w:asciiTheme="majorHAnsi" w:hAnsiTheme="majorHAnsi"/>
        </w:rPr>
        <w:t>Myös perustuslakivaliokunta on lausunnossaan PeVL 15/2018 pitänyt tämän tyyppistä menettelyä erikoislaatuisena, koska yhden maakunnan rahoituksen korotus vaikuttaisi alentavasti kaikkien maakuntien vuosittaisen rahoituksen tasoon.</w:t>
      </w:r>
    </w:p>
    <w:p w:rsidR="00752664" w:rsidRPr="008A579E" w:rsidRDefault="00752664" w:rsidP="00752664">
      <w:pPr>
        <w:pStyle w:val="Luettelokappale"/>
        <w:ind w:left="1304"/>
        <w:rPr>
          <w:rFonts w:asciiTheme="majorHAnsi" w:hAnsiTheme="majorHAnsi"/>
        </w:rPr>
      </w:pPr>
    </w:p>
    <w:p w:rsidR="00497369" w:rsidRDefault="00497369">
      <w:pPr>
        <w:rPr>
          <w:rFonts w:asciiTheme="majorHAnsi" w:hAnsiTheme="majorHAnsi"/>
        </w:rPr>
      </w:pPr>
      <w:r>
        <w:rPr>
          <w:rFonts w:asciiTheme="majorHAnsi" w:hAnsiTheme="majorHAnsi"/>
        </w:rPr>
        <w:br w:type="page"/>
      </w:r>
    </w:p>
    <w:p w:rsidR="00752664" w:rsidRPr="008A579E" w:rsidRDefault="00752664" w:rsidP="00752664">
      <w:pPr>
        <w:pStyle w:val="Luettelokappale"/>
        <w:ind w:left="1304"/>
        <w:rPr>
          <w:rFonts w:asciiTheme="majorHAnsi" w:hAnsiTheme="majorHAnsi"/>
        </w:rPr>
      </w:pPr>
      <w:r w:rsidRPr="008A579E">
        <w:rPr>
          <w:rFonts w:asciiTheme="majorHAnsi" w:hAnsiTheme="majorHAnsi"/>
        </w:rPr>
        <w:t xml:space="preserve">Perustuslakivaliokunta on </w:t>
      </w:r>
      <w:r w:rsidR="00A53DE7" w:rsidRPr="008A579E">
        <w:rPr>
          <w:rFonts w:asciiTheme="majorHAnsi" w:hAnsiTheme="majorHAnsi"/>
        </w:rPr>
        <w:t xml:space="preserve">mainitussa </w:t>
      </w:r>
      <w:r w:rsidRPr="008A579E">
        <w:rPr>
          <w:rFonts w:asciiTheme="majorHAnsi" w:hAnsiTheme="majorHAnsi"/>
        </w:rPr>
        <w:t>lausunnossaan</w:t>
      </w:r>
      <w:r w:rsidR="00A53DE7" w:rsidRPr="008A579E">
        <w:rPr>
          <w:rFonts w:asciiTheme="majorHAnsi" w:hAnsiTheme="majorHAnsi"/>
        </w:rPr>
        <w:t xml:space="preserve"> </w:t>
      </w:r>
      <w:r w:rsidRPr="008A579E">
        <w:rPr>
          <w:rFonts w:asciiTheme="majorHAnsi" w:hAnsiTheme="majorHAnsi"/>
        </w:rPr>
        <w:t>15/2018 todennut</w:t>
      </w:r>
      <w:r w:rsidR="00A53DE7" w:rsidRPr="008A579E">
        <w:rPr>
          <w:rFonts w:asciiTheme="majorHAnsi" w:hAnsiTheme="majorHAnsi"/>
        </w:rPr>
        <w:t xml:space="preserve"> myös</w:t>
      </w:r>
      <w:r w:rsidRPr="008A579E">
        <w:rPr>
          <w:rFonts w:asciiTheme="majorHAnsi" w:hAnsiTheme="majorHAnsi"/>
        </w:rPr>
        <w:t xml:space="preserve">, että rahoituslakia on muutettava siten, että se turvaa asianmukaisesti ja täsmällisin säännöksin riittävien sosiaali- ja terveyspalveluiden rahoituksen ja poikkeustilanteissa maakunnan edellytykset perus- ja ihmisoikeuksien toteuttamiseen. Rahoitusperiaatteen turvaaminen </w:t>
      </w:r>
      <w:r w:rsidR="00A53DE7" w:rsidRPr="008A579E">
        <w:rPr>
          <w:rFonts w:asciiTheme="majorHAnsi" w:hAnsiTheme="majorHAnsi"/>
        </w:rPr>
        <w:t xml:space="preserve">ei </w:t>
      </w:r>
      <w:r w:rsidRPr="008A579E">
        <w:rPr>
          <w:rFonts w:asciiTheme="majorHAnsi" w:hAnsiTheme="majorHAnsi"/>
        </w:rPr>
        <w:t>voi olla riippu</w:t>
      </w:r>
      <w:r w:rsidRPr="008A579E">
        <w:rPr>
          <w:rFonts w:asciiTheme="majorHAnsi" w:hAnsiTheme="majorHAnsi"/>
        </w:rPr>
        <w:lastRenderedPageBreak/>
        <w:t>vaista harkinnasta. Perustuslakivaliokunnan mukaan maakuntien rahoituslakiin sisältyvää kustannusten kasvun rajoitinta on syytä pitää perusoikeuksien turvaamisen kannalta ennakoitavissa olevaan kustannusten nousukehitykseen nähden epäsuhtaisena.</w:t>
      </w:r>
    </w:p>
    <w:p w:rsidR="00752664" w:rsidRPr="008A579E" w:rsidRDefault="00752664" w:rsidP="00752664">
      <w:pPr>
        <w:pStyle w:val="Luettelokappale"/>
        <w:ind w:left="1304"/>
        <w:rPr>
          <w:rFonts w:asciiTheme="majorHAnsi" w:hAnsiTheme="majorHAnsi"/>
        </w:rPr>
      </w:pPr>
    </w:p>
    <w:p w:rsidR="00752664" w:rsidRPr="008A579E" w:rsidRDefault="00752664" w:rsidP="00752664">
      <w:pPr>
        <w:pStyle w:val="Luettelokappale"/>
        <w:ind w:left="1304"/>
        <w:rPr>
          <w:rFonts w:asciiTheme="majorHAnsi" w:hAnsiTheme="majorHAnsi"/>
        </w:rPr>
      </w:pPr>
      <w:r w:rsidRPr="008A579E">
        <w:rPr>
          <w:rFonts w:asciiTheme="majorHAnsi" w:hAnsiTheme="majorHAnsi"/>
        </w:rPr>
        <w:t>Kuntaliiton käsityksen mukaan on kyseenalaista, täyttävätkö eduskunnalle annetussa vastineessa maakuntien rahoituslakiin ehdotetut täydennykset mainitut perustuslakivaliokunnan vaatimukset. Sosiaali- ja terveyspalveluiden kustannusten kasvun rajoittimeen ei vastineessa ole esitetty muutoksia. Ehdotetun maakuntien rahoituslain 6 §:n 3 momentin mukaan perusrahoituksen tason korotus ns. järjestelmäongelmatilanteissa perustuisi pitkälti harkintaan. Korotuksen myöntämistä harkittaessa arvioitaisiin palveluiden riittävyyttä, riittävien palveluiden vaarantumista ja tarvittavaa korotuksen määrää riittävien palveluiden turvaamiseksi. Harkittaessa yksittäiselle maakunnalle ehdotetun 7 §:n mukaan myönnettävää lisärahoitusta niinikään arvioitaisiin, vaarantuisivatko riittävät sosiaali- ja terveyspalvelut ja mikä lisärahoitus olisi tarpeen näiden palveluiden turvaamiseksi. Ottaen huomioon maakuntien perusrahoituksen kireys suhteessa palvelutarpeisiin lakisääteisten sosiaali- ja terveyspalveluiden rahoitukseen tulee käytännössä sisältymään paljon harkinnanvaraisuutta.</w:t>
      </w:r>
    </w:p>
    <w:p w:rsidR="00752664" w:rsidRPr="008A579E" w:rsidRDefault="00752664" w:rsidP="00752664">
      <w:pPr>
        <w:rPr>
          <w:rFonts w:asciiTheme="majorHAnsi" w:hAnsiTheme="majorHAnsi"/>
        </w:rPr>
      </w:pPr>
    </w:p>
    <w:p w:rsidR="00752664" w:rsidRPr="008A579E" w:rsidRDefault="00752664" w:rsidP="00752664">
      <w:pPr>
        <w:pStyle w:val="Luettelokappale"/>
        <w:ind w:left="1304"/>
        <w:rPr>
          <w:rFonts w:asciiTheme="majorHAnsi" w:hAnsiTheme="majorHAnsi"/>
        </w:rPr>
      </w:pPr>
      <w:r w:rsidRPr="008A579E">
        <w:rPr>
          <w:rFonts w:asciiTheme="majorHAnsi" w:hAnsiTheme="majorHAnsi"/>
        </w:rPr>
        <w:t>Kuntaliitto huomauttaa, että hallituksen vastineessa ei ehdoteta muutettavaksi maakuntien rahoituksen perustumista maakuntaindeksiin, joka muodostuu suurimmaksi osaksi muista kuin sosiaali- ja terveyspalveluita kuvaavista kustannustekij</w:t>
      </w:r>
      <w:r w:rsidR="008439DC">
        <w:rPr>
          <w:rFonts w:asciiTheme="majorHAnsi" w:hAnsiTheme="majorHAnsi"/>
        </w:rPr>
        <w:t>öistä. Maakuntaindeksiin perustu</w:t>
      </w:r>
      <w:r w:rsidRPr="008A579E">
        <w:rPr>
          <w:rFonts w:asciiTheme="majorHAnsi" w:hAnsiTheme="majorHAnsi"/>
        </w:rPr>
        <w:t>va rahoituksen tason tarkistaminen ei kuvasta maakuntien tehtäviä, eikä siten sitä toimintaympäristöä, johon rahoituksen tulisi riittää. Lisäksi on epäselvää, miten maakuntaindeksiin perustuva rahoitus käytännössä toimii yhdistettynä hallituksen vastineen muihin muutosehdotuksiin. Myös perustuslakivaliokunta on edellä mainitussa lausunnossaan kiinnittänyt huomiota siihen, että ehdotettu maakuntaindeksi ei välttämättä ole perusteltu rahoituksen perusta sosiaali- ja terveydenhuollon kustannuskehitykselle.</w:t>
      </w:r>
    </w:p>
    <w:p w:rsidR="00752664" w:rsidRPr="008A579E" w:rsidRDefault="00752664" w:rsidP="00752664">
      <w:pPr>
        <w:pStyle w:val="Luettelokappale"/>
        <w:ind w:left="1304"/>
        <w:rPr>
          <w:rFonts w:asciiTheme="majorHAnsi" w:hAnsiTheme="majorHAnsi"/>
        </w:rPr>
      </w:pPr>
    </w:p>
    <w:p w:rsidR="00752664" w:rsidRPr="008A579E" w:rsidRDefault="00752664" w:rsidP="00752664">
      <w:pPr>
        <w:pStyle w:val="Luettelokappale"/>
        <w:ind w:left="1304"/>
        <w:rPr>
          <w:rFonts w:asciiTheme="majorHAnsi" w:hAnsiTheme="majorHAnsi"/>
        </w:rPr>
      </w:pPr>
      <w:r w:rsidRPr="008A579E">
        <w:rPr>
          <w:rFonts w:asciiTheme="majorHAnsi" w:hAnsiTheme="majorHAnsi"/>
        </w:rPr>
        <w:t xml:space="preserve">Kuntaliitto korostaa, että maakuntien talouden ohjaus ja kustannusten hillintä toimisi parhaiten osana julkisen talouden suunnitelmaa, jossa olisi maakuntataloutta koskeva osio. Tässä menettelyssä valtio ja maakunnat arvioisivat toimintaympäristön kehitystä, investointeja, taloutta ja rahoitusta vuosittain, ja kunkin hallituskauden ajaksi olisi mahdollista asettaa tiettyjä tavoitteita. Tämän tyyppisellä ohjausmenettelyllä voitaisiin parhaiten varmistaa maakuntien rahoituksen riittävyys sekä riittävät sosiaali- ja terveyspalvelut.   </w:t>
      </w:r>
    </w:p>
    <w:p w:rsidR="00752664" w:rsidRPr="008A579E" w:rsidRDefault="00752664" w:rsidP="00752664">
      <w:pPr>
        <w:rPr>
          <w:rFonts w:asciiTheme="majorHAnsi" w:hAnsiTheme="majorHAnsi"/>
        </w:rPr>
      </w:pPr>
    </w:p>
    <w:p w:rsidR="00752664" w:rsidRPr="008A579E" w:rsidRDefault="00752664" w:rsidP="00752664">
      <w:pPr>
        <w:pStyle w:val="Luettelokappale"/>
        <w:ind w:left="1304"/>
        <w:rPr>
          <w:rFonts w:asciiTheme="majorHAnsi" w:hAnsiTheme="majorHAnsi"/>
        </w:rPr>
      </w:pPr>
      <w:r w:rsidRPr="008A579E">
        <w:rPr>
          <w:rFonts w:asciiTheme="majorHAnsi" w:hAnsiTheme="majorHAnsi"/>
        </w:rPr>
        <w:t>Muilta osin Kuntaliitto viittaa erityisesti seuraaviin aiempiin eduskunnalle antamiinsa lausuntoihin:</w:t>
      </w:r>
    </w:p>
    <w:p w:rsidR="00752664" w:rsidRPr="008A579E" w:rsidRDefault="00752664" w:rsidP="00752664">
      <w:pPr>
        <w:pStyle w:val="Luettelokappale"/>
        <w:ind w:left="1304"/>
        <w:rPr>
          <w:rFonts w:asciiTheme="majorHAnsi" w:hAnsiTheme="majorHAnsi"/>
        </w:rPr>
      </w:pPr>
    </w:p>
    <w:p w:rsidR="00752664" w:rsidRPr="008A579E" w:rsidRDefault="00752664" w:rsidP="00752664">
      <w:pPr>
        <w:ind w:left="1664"/>
        <w:rPr>
          <w:rFonts w:asciiTheme="majorHAnsi" w:hAnsiTheme="majorHAnsi"/>
        </w:rPr>
      </w:pPr>
      <w:r w:rsidRPr="008A579E">
        <w:rPr>
          <w:rFonts w:asciiTheme="majorHAnsi" w:hAnsiTheme="majorHAnsi"/>
        </w:rPr>
        <w:t xml:space="preserve">Kuntaliiton lausunnot sosiali- ja terveysvaliokunnalle 5.4, 24.4. </w:t>
      </w:r>
      <w:r w:rsidR="00A53DE7" w:rsidRPr="008A579E">
        <w:rPr>
          <w:rFonts w:asciiTheme="majorHAnsi" w:hAnsiTheme="majorHAnsi"/>
        </w:rPr>
        <w:t>ja 3.5.</w:t>
      </w:r>
      <w:r w:rsidRPr="008A579E">
        <w:rPr>
          <w:rFonts w:asciiTheme="majorHAnsi" w:hAnsiTheme="majorHAnsi"/>
        </w:rPr>
        <w:t>2018</w:t>
      </w:r>
    </w:p>
    <w:p w:rsidR="00752664" w:rsidRPr="008A579E" w:rsidRDefault="00752664" w:rsidP="00752664">
      <w:pPr>
        <w:ind w:left="1664"/>
        <w:rPr>
          <w:rFonts w:asciiTheme="majorHAnsi" w:hAnsiTheme="majorHAnsi"/>
        </w:rPr>
      </w:pPr>
      <w:r w:rsidRPr="008A579E">
        <w:rPr>
          <w:rFonts w:asciiTheme="majorHAnsi" w:hAnsiTheme="majorHAnsi"/>
        </w:rPr>
        <w:t>Kuntaliiton lausun</w:t>
      </w:r>
      <w:r w:rsidR="00A53DE7" w:rsidRPr="008A579E">
        <w:rPr>
          <w:rFonts w:asciiTheme="majorHAnsi" w:hAnsiTheme="majorHAnsi"/>
        </w:rPr>
        <w:t>not</w:t>
      </w:r>
      <w:r w:rsidRPr="008A579E">
        <w:rPr>
          <w:rFonts w:asciiTheme="majorHAnsi" w:hAnsiTheme="majorHAnsi"/>
        </w:rPr>
        <w:t xml:space="preserve"> valtiovarainvaliokunnalle 5.4. ja 6.4. 2018,     </w:t>
      </w:r>
    </w:p>
    <w:p w:rsidR="00752664" w:rsidRPr="008A579E" w:rsidRDefault="00752664" w:rsidP="00752664">
      <w:pPr>
        <w:ind w:left="1664"/>
        <w:rPr>
          <w:rFonts w:asciiTheme="majorHAnsi" w:hAnsiTheme="majorHAnsi"/>
        </w:rPr>
      </w:pPr>
    </w:p>
    <w:p w:rsidR="00752664" w:rsidRPr="008A579E" w:rsidRDefault="00752664" w:rsidP="00752664">
      <w:pPr>
        <w:rPr>
          <w:rFonts w:asciiTheme="majorHAnsi" w:hAnsiTheme="majorHAnsi"/>
          <w:b/>
        </w:rPr>
      </w:pPr>
      <w:r w:rsidRPr="008A579E">
        <w:rPr>
          <w:rFonts w:asciiTheme="majorHAnsi" w:hAnsiTheme="majorHAnsi"/>
          <w:b/>
        </w:rPr>
        <w:t>Siirtolaskentaa tarpeen päivittää</w:t>
      </w:r>
    </w:p>
    <w:p w:rsidR="00752664" w:rsidRPr="008A579E" w:rsidRDefault="00752664" w:rsidP="00752664">
      <w:pPr>
        <w:rPr>
          <w:rFonts w:asciiTheme="majorHAnsi" w:hAnsiTheme="majorHAnsi"/>
          <w:b/>
        </w:rPr>
      </w:pPr>
    </w:p>
    <w:p w:rsidR="00752664" w:rsidRPr="008A579E" w:rsidRDefault="00752664" w:rsidP="00752664">
      <w:pPr>
        <w:ind w:left="1304"/>
        <w:rPr>
          <w:rFonts w:asciiTheme="majorHAnsi" w:hAnsiTheme="majorHAnsi"/>
        </w:rPr>
      </w:pPr>
      <w:r w:rsidRPr="008A579E">
        <w:rPr>
          <w:rFonts w:asciiTheme="majorHAnsi" w:hAnsiTheme="majorHAnsi"/>
        </w:rPr>
        <w:t>Kuntaliitto toteaa, että maakuntauudistuksen lykkääntyminen vuodella eteenpäin aiheuttaa myös muutostarpeita kuntien ja maakuntien talouden siirtolaskentaan. Koska järjestämisvastuu siirtyy maakunnille vasta vuoden 2021 alussa, tulee huomioitavat kustannukset vastaavasti päivitt</w:t>
      </w:r>
      <w:r w:rsidR="00A53DE7" w:rsidRPr="008A579E">
        <w:rPr>
          <w:rFonts w:asciiTheme="majorHAnsi" w:hAnsiTheme="majorHAnsi"/>
        </w:rPr>
        <w:t>ää uutta tilannetta vastaavaksi, e</w:t>
      </w:r>
      <w:r w:rsidRPr="008A579E">
        <w:rPr>
          <w:rFonts w:asciiTheme="majorHAnsi" w:hAnsiTheme="majorHAnsi"/>
        </w:rPr>
        <w:t xml:space="preserve">simerkiksi siten, että siirtyvinä kustannuksina huomioitaisiin kolmen vuoden keskiarvo - vuodet 2018-2020. Vastaavasti kuntien yhteisövero-osuuden leikkaus tulee laskea uudelleen vuoden 2020 tasossa. Tällä hetkellä yhteisöveron laskelmat perustuvat vuoden 2016 tietoihin. Siirtolaskenta on kaiken kaikkiaan monimutkaista, joten kaikkia lykkääntymisen seurauksia ei vielä ole edes kyetty arvioimaan.  </w:t>
      </w:r>
    </w:p>
    <w:p w:rsidR="00752664" w:rsidRPr="008A579E" w:rsidRDefault="00752664" w:rsidP="00752664">
      <w:pPr>
        <w:pStyle w:val="Luettelokappale"/>
        <w:ind w:left="1304"/>
        <w:rPr>
          <w:rFonts w:asciiTheme="majorHAnsi" w:hAnsiTheme="majorHAnsi"/>
          <w:vanish/>
          <w:specVanish/>
        </w:rPr>
      </w:pPr>
    </w:p>
    <w:p w:rsidR="00752664" w:rsidRPr="008A579E" w:rsidRDefault="00752664" w:rsidP="00752664">
      <w:pPr>
        <w:rPr>
          <w:rFonts w:asciiTheme="majorHAnsi" w:hAnsiTheme="majorHAnsi"/>
          <w:vanish/>
          <w:specVanish/>
        </w:rPr>
      </w:pPr>
      <w:r w:rsidRPr="008A579E">
        <w:rPr>
          <w:rFonts w:asciiTheme="majorHAnsi" w:hAnsiTheme="majorHAnsi"/>
        </w:rPr>
        <w:t xml:space="preserve"> </w:t>
      </w:r>
    </w:p>
    <w:p w:rsidR="00752664" w:rsidRPr="008A579E" w:rsidRDefault="00752664" w:rsidP="00752664">
      <w:pPr>
        <w:rPr>
          <w:rFonts w:asciiTheme="majorHAnsi" w:hAnsiTheme="majorHAnsi"/>
        </w:rPr>
      </w:pPr>
      <w:r w:rsidRPr="008A579E">
        <w:rPr>
          <w:rFonts w:asciiTheme="majorHAnsi" w:hAnsiTheme="majorHAnsi"/>
        </w:rPr>
        <w:t xml:space="preserve"> </w:t>
      </w:r>
    </w:p>
    <w:p w:rsidR="00AC2C6B" w:rsidRPr="008A579E" w:rsidRDefault="00752664" w:rsidP="00752664">
      <w:pPr>
        <w:rPr>
          <w:rFonts w:asciiTheme="majorHAnsi" w:hAnsiTheme="majorHAnsi"/>
          <w:b/>
        </w:rPr>
      </w:pPr>
      <w:r w:rsidRPr="008A579E">
        <w:rPr>
          <w:rFonts w:asciiTheme="majorHAnsi" w:hAnsiTheme="majorHAnsi"/>
        </w:rPr>
        <w:br w:type="page"/>
      </w:r>
      <w:r w:rsidR="00E91F59" w:rsidRPr="008A579E">
        <w:rPr>
          <w:rFonts w:asciiTheme="majorHAnsi" w:hAnsiTheme="majorHAnsi"/>
          <w:b/>
        </w:rPr>
        <w:lastRenderedPageBreak/>
        <w:t>Omaisuusjärjestelyjen kompensaatiosääntely edelleen puutteellinen</w:t>
      </w:r>
    </w:p>
    <w:p w:rsidR="00752664" w:rsidRPr="008A579E" w:rsidRDefault="00752664" w:rsidP="00752664">
      <w:pPr>
        <w:rPr>
          <w:rFonts w:asciiTheme="majorHAnsi" w:hAnsiTheme="majorHAnsi"/>
        </w:rPr>
      </w:pPr>
    </w:p>
    <w:p w:rsidR="00E4137C" w:rsidRPr="008A579E" w:rsidRDefault="00E4137C" w:rsidP="00E4137C">
      <w:pPr>
        <w:pStyle w:val="Luettelokappale"/>
        <w:ind w:left="1304"/>
        <w:rPr>
          <w:rFonts w:asciiTheme="majorHAnsi" w:hAnsiTheme="majorHAnsi"/>
        </w:rPr>
      </w:pPr>
      <w:r w:rsidRPr="008A579E">
        <w:rPr>
          <w:rFonts w:asciiTheme="majorHAnsi" w:hAnsiTheme="majorHAnsi"/>
        </w:rPr>
        <w:t>Hallituksen vastine sisältää muutosehdotuksia kuntien omaisuusjärjestelyihin liittyvään kompensaatiosääntelyyn. Keskeisimmät muutokset lii</w:t>
      </w:r>
      <w:r w:rsidR="006B35CD" w:rsidRPr="008A579E">
        <w:rPr>
          <w:rFonts w:asciiTheme="majorHAnsi" w:hAnsiTheme="majorHAnsi"/>
        </w:rPr>
        <w:t xml:space="preserve">ttyvät siihen, </w:t>
      </w:r>
      <w:r w:rsidRPr="008A579E">
        <w:rPr>
          <w:rFonts w:asciiTheme="majorHAnsi" w:hAnsiTheme="majorHAnsi"/>
        </w:rPr>
        <w:t xml:space="preserve">että kompensaatiota </w:t>
      </w:r>
      <w:r w:rsidR="008439DC">
        <w:rPr>
          <w:rFonts w:asciiTheme="majorHAnsi" w:hAnsiTheme="majorHAnsi"/>
        </w:rPr>
        <w:t>on oik</w:t>
      </w:r>
      <w:r w:rsidR="00AA25F7">
        <w:rPr>
          <w:rFonts w:asciiTheme="majorHAnsi" w:hAnsiTheme="majorHAnsi"/>
        </w:rPr>
        <w:t>e</w:t>
      </w:r>
      <w:r w:rsidR="008439DC">
        <w:rPr>
          <w:rFonts w:asciiTheme="majorHAnsi" w:hAnsiTheme="majorHAnsi"/>
        </w:rPr>
        <w:t>us</w:t>
      </w:r>
      <w:r w:rsidRPr="008A579E">
        <w:rPr>
          <w:rFonts w:asciiTheme="majorHAnsi" w:hAnsiTheme="majorHAnsi"/>
        </w:rPr>
        <w:t xml:space="preserve"> saada, jos omaisuusjärjestelyistä aiheutuvat kustannukset ylittävät 1,0 prosenttiyksikön laskennallisen veronkorotustarpeen. Lisäksi pykälään on lisätty ehdotus, että kompensaatiota saa osittain, mikäli kunnan veroprosentti ylittää keskimääräisen veronprosentin kahdella prosenttiyksiköllä.  </w:t>
      </w:r>
    </w:p>
    <w:p w:rsidR="00E4137C" w:rsidRPr="008A579E" w:rsidRDefault="00E4137C" w:rsidP="00E4137C">
      <w:pPr>
        <w:rPr>
          <w:rFonts w:asciiTheme="majorHAnsi" w:hAnsiTheme="majorHAnsi"/>
        </w:rPr>
      </w:pPr>
    </w:p>
    <w:p w:rsidR="00A00CB0" w:rsidRPr="008A579E" w:rsidRDefault="00E91F59" w:rsidP="00E4137C">
      <w:pPr>
        <w:pStyle w:val="Luettelokappale"/>
        <w:ind w:left="1304"/>
        <w:rPr>
          <w:rFonts w:asciiTheme="majorHAnsi" w:hAnsiTheme="majorHAnsi"/>
        </w:rPr>
      </w:pPr>
      <w:r w:rsidRPr="008A579E">
        <w:rPr>
          <w:rFonts w:asciiTheme="majorHAnsi" w:hAnsiTheme="majorHAnsi"/>
        </w:rPr>
        <w:t>Kuntaliitto pitää hallituksen vastineen muutoseh</w:t>
      </w:r>
      <w:r w:rsidR="00E4137C" w:rsidRPr="008A579E">
        <w:rPr>
          <w:rFonts w:asciiTheme="majorHAnsi" w:hAnsiTheme="majorHAnsi"/>
        </w:rPr>
        <w:t>dotuksia</w:t>
      </w:r>
      <w:r w:rsidRPr="008A579E">
        <w:rPr>
          <w:rFonts w:asciiTheme="majorHAnsi" w:hAnsiTheme="majorHAnsi"/>
        </w:rPr>
        <w:t xml:space="preserve"> puutte</w:t>
      </w:r>
      <w:r w:rsidR="00E4137C" w:rsidRPr="008A579E">
        <w:rPr>
          <w:rFonts w:asciiTheme="majorHAnsi" w:hAnsiTheme="majorHAnsi"/>
        </w:rPr>
        <w:t>ellisena, vaikka osin muutosehdotukset ovat</w:t>
      </w:r>
      <w:r w:rsidR="002B73A9" w:rsidRPr="008A579E">
        <w:rPr>
          <w:rFonts w:asciiTheme="majorHAnsi" w:hAnsiTheme="majorHAnsi"/>
        </w:rPr>
        <w:t>kin</w:t>
      </w:r>
      <w:r w:rsidR="00E4137C" w:rsidRPr="008A579E">
        <w:rPr>
          <w:rFonts w:asciiTheme="majorHAnsi" w:hAnsiTheme="majorHAnsi"/>
        </w:rPr>
        <w:t xml:space="preserve"> oikeansuuntaisia.</w:t>
      </w:r>
      <w:r w:rsidR="00A00CB0" w:rsidRPr="008A579E">
        <w:rPr>
          <w:rFonts w:asciiTheme="majorHAnsi" w:hAnsiTheme="majorHAnsi"/>
        </w:rPr>
        <w:t xml:space="preserve"> Keskeisimmät ongelmat liittyvät siihen, että kompensaation raja-arvo (1,00 %) on liian korkea ja kompensaatiomenettely ei kata kaikkia omaisuuslajeja. </w:t>
      </w:r>
    </w:p>
    <w:p w:rsidR="005A2885" w:rsidRPr="008A579E" w:rsidRDefault="005A2885" w:rsidP="00E4137C">
      <w:pPr>
        <w:pStyle w:val="Luettelokappale"/>
        <w:ind w:left="1304"/>
        <w:rPr>
          <w:rFonts w:asciiTheme="majorHAnsi" w:hAnsiTheme="majorHAnsi"/>
        </w:rPr>
      </w:pPr>
    </w:p>
    <w:p w:rsidR="005A2885" w:rsidRPr="008A579E" w:rsidRDefault="005A2885" w:rsidP="005A2885">
      <w:pPr>
        <w:ind w:left="1304"/>
      </w:pPr>
      <w:r w:rsidRPr="008A579E">
        <w:rPr>
          <w:rFonts w:asciiTheme="majorHAnsi" w:hAnsiTheme="majorHAnsi"/>
        </w:rPr>
        <w:t>Kuntaliitto on valmisteluvaiheessa esittänyt mallia, jossa on kaksi vaihtoehtoista raja-arvoa, jotka laukaiseva</w:t>
      </w:r>
      <w:r w:rsidR="006B35CD" w:rsidRPr="008A579E">
        <w:rPr>
          <w:rFonts w:asciiTheme="majorHAnsi" w:hAnsiTheme="majorHAnsi"/>
        </w:rPr>
        <w:t>t</w:t>
      </w:r>
      <w:r w:rsidRPr="008A579E">
        <w:rPr>
          <w:rFonts w:asciiTheme="majorHAnsi" w:hAnsiTheme="majorHAnsi"/>
        </w:rPr>
        <w:t xml:space="preserve"> kompensaatiosääntelyn. Perustilanteessa korvaus myönnetään, jos menetys vastaa vähintään 0,25 </w:t>
      </w:r>
      <w:r w:rsidRPr="008A579E">
        <w:t xml:space="preserve">prosenttiyksikön laskennallista korotustarvetta kunnan tuloveroprosenttiin. Lisäksi korvaus myönnettäisiin, jos kunnan taloudellinen menetys on vähintään kolme miljoonaa euroa. </w:t>
      </w:r>
    </w:p>
    <w:p w:rsidR="00A00CB0" w:rsidRPr="008A579E" w:rsidRDefault="00A00CB0" w:rsidP="00A00CB0">
      <w:pPr>
        <w:rPr>
          <w:rFonts w:asciiTheme="majorHAnsi" w:hAnsiTheme="majorHAnsi"/>
        </w:rPr>
      </w:pPr>
    </w:p>
    <w:p w:rsidR="005A2885" w:rsidRPr="008A579E" w:rsidRDefault="005A2885" w:rsidP="005A2885">
      <w:pPr>
        <w:ind w:left="1300"/>
        <w:rPr>
          <w:rFonts w:asciiTheme="majorHAnsi" w:hAnsiTheme="majorHAnsi"/>
        </w:rPr>
      </w:pPr>
      <w:r w:rsidRPr="008A579E">
        <w:rPr>
          <w:rFonts w:asciiTheme="majorHAnsi" w:hAnsiTheme="majorHAnsi"/>
        </w:rPr>
        <w:t>Liitteessä 1 on laskettu kuntien suurimpia ja pienimpiä raja-a</w:t>
      </w:r>
      <w:r w:rsidR="006B35CD" w:rsidRPr="008A579E">
        <w:rPr>
          <w:rFonts w:asciiTheme="majorHAnsi" w:hAnsiTheme="majorHAnsi"/>
        </w:rPr>
        <w:t>rvoja sekä Kuntaliiton mallilla</w:t>
      </w:r>
      <w:r w:rsidRPr="008A579E">
        <w:rPr>
          <w:rFonts w:asciiTheme="majorHAnsi" w:hAnsiTheme="majorHAnsi"/>
        </w:rPr>
        <w:t xml:space="preserve"> että hallituksen vastineen raja-arvoilla. Pienimmille kunnille hallituksen vastineen 1,0 prosenttiyksikön raja-arvo vastaa noin 100 000 euron kustannuksia, kun taas Helsinki olisi oikeutettu kompensaation vasta noin 163 milj. euron kustannusten jälkeen. Keskikokoiset kaupungit (mm. Hyvinkää, Kotka, Porvoo) olisivat hallituksen vastineen mukaan oikeutettuja kompensaation noin 10-11 milj. euron menetysten jälkeen. </w:t>
      </w:r>
    </w:p>
    <w:p w:rsidR="005A2885" w:rsidRPr="008A579E" w:rsidRDefault="005A2885" w:rsidP="00A00CB0">
      <w:pPr>
        <w:rPr>
          <w:rFonts w:asciiTheme="majorHAnsi" w:hAnsiTheme="majorHAnsi"/>
        </w:rPr>
      </w:pPr>
    </w:p>
    <w:p w:rsidR="00A00CB0" w:rsidRPr="008A579E" w:rsidRDefault="005A2885" w:rsidP="00A00CB0">
      <w:pPr>
        <w:ind w:left="1304"/>
      </w:pPr>
      <w:r w:rsidRPr="008A579E">
        <w:t>Kuntaliitto huomauttaa, että hallituksen vastineen raja-arvot ovat todella korkeat, kun huomioidaan kunnan koko</w:t>
      </w:r>
      <w:r w:rsidR="00E45D7A" w:rsidRPr="008A579E">
        <w:t xml:space="preserve"> ja talouden realiteetit</w:t>
      </w:r>
      <w:r w:rsidRPr="008A579E">
        <w:t xml:space="preserve">. </w:t>
      </w:r>
      <w:r w:rsidR="006B35CD" w:rsidRPr="008A579E">
        <w:t>Esimerkiksi k</w:t>
      </w:r>
      <w:r w:rsidRPr="008A579E">
        <w:t xml:space="preserve">aikissa liitteessä 1 mainituissa kunnissa hallituksen </w:t>
      </w:r>
      <w:r w:rsidR="006B35CD" w:rsidRPr="008A579E">
        <w:t xml:space="preserve">esittämää </w:t>
      </w:r>
      <w:r w:rsidRPr="008A579E">
        <w:t>kompensaatiota saisi vast</w:t>
      </w:r>
      <w:r w:rsidR="002B73A9" w:rsidRPr="008A579E">
        <w:t>a, kun menetys on yli 100 euroa/</w:t>
      </w:r>
      <w:r w:rsidRPr="008A579E">
        <w:t>asukas. Useissa kunnissa kompensaatiota saisi vasta, kun menetys on noin 200</w:t>
      </w:r>
      <w:r w:rsidR="002B73A9" w:rsidRPr="008A579E">
        <w:t xml:space="preserve"> euroa/</w:t>
      </w:r>
      <w:r w:rsidRPr="008A579E">
        <w:t xml:space="preserve">asukas. Kun huomioidaan, että </w:t>
      </w:r>
      <w:r w:rsidR="00405D17" w:rsidRPr="008A579E">
        <w:t>koko uudistuksen vaikutuk</w:t>
      </w:r>
      <w:r w:rsidR="00EE404E" w:rsidRPr="008A579E">
        <w:t>set</w:t>
      </w:r>
      <w:r w:rsidR="00405D17" w:rsidRPr="008A579E">
        <w:t xml:space="preserve"> yksitäisen kunnan talouteen on siirt</w:t>
      </w:r>
      <w:r w:rsidR="002B73A9" w:rsidRPr="008A579E">
        <w:t>olaskelmissa rajattu 100 euroon/</w:t>
      </w:r>
      <w:r w:rsidR="00405D17" w:rsidRPr="008A579E">
        <w:t xml:space="preserve">asukas, voidaan vastineessa esitettyjä pelkästään omaisuusjärjestelyjen kompensaatiosta johtuvia raja-arvoja pitää hyvin korkeina. </w:t>
      </w:r>
      <w:r w:rsidRPr="008A579E">
        <w:t xml:space="preserve"> </w:t>
      </w:r>
      <w:r w:rsidRPr="008A579E">
        <w:tab/>
      </w:r>
    </w:p>
    <w:p w:rsidR="00E91F59" w:rsidRPr="008A579E" w:rsidRDefault="00E91F59" w:rsidP="00E4137C">
      <w:pPr>
        <w:pStyle w:val="Luettelokappale"/>
        <w:ind w:left="1304"/>
        <w:rPr>
          <w:rFonts w:asciiTheme="majorHAnsi" w:hAnsiTheme="majorHAnsi"/>
        </w:rPr>
      </w:pPr>
    </w:p>
    <w:p w:rsidR="00E02A00" w:rsidRPr="008A579E" w:rsidRDefault="00405D17" w:rsidP="00E02A00">
      <w:pPr>
        <w:ind w:left="1304"/>
      </w:pPr>
      <w:r w:rsidRPr="008A579E">
        <w:rPr>
          <w:rFonts w:asciiTheme="majorHAnsi" w:hAnsiTheme="majorHAnsi"/>
        </w:rPr>
        <w:t>Kuntaliitto katsoo</w:t>
      </w:r>
      <w:r w:rsidR="00970887" w:rsidRPr="008A579E">
        <w:rPr>
          <w:rFonts w:asciiTheme="majorHAnsi" w:hAnsiTheme="majorHAnsi"/>
        </w:rPr>
        <w:t xml:space="preserve"> aikaisempiin lausuntoihinsa viitaten</w:t>
      </w:r>
      <w:r w:rsidRPr="008A579E">
        <w:rPr>
          <w:rFonts w:asciiTheme="majorHAnsi" w:hAnsiTheme="majorHAnsi"/>
        </w:rPr>
        <w:t xml:space="preserve">, että </w:t>
      </w:r>
      <w:r w:rsidRPr="008A579E">
        <w:t>omaisuusjärjestelyjen tulee käsittää kaikki omaisuuslajit (mm. kiinteistöt, irtain omaisuus, kuntayhtymäosuudet),</w:t>
      </w:r>
      <w:r w:rsidR="00EE404E" w:rsidRPr="008A579E">
        <w:t xml:space="preserve"> koska </w:t>
      </w:r>
      <w:r w:rsidRPr="008A579E">
        <w:t>ne kai</w:t>
      </w:r>
      <w:r w:rsidR="00EE404E" w:rsidRPr="008A579E">
        <w:t>kki vaikuttavat kunnan talouteen</w:t>
      </w:r>
      <w:r w:rsidRPr="008A579E">
        <w:t xml:space="preserve">. </w:t>
      </w:r>
      <w:r w:rsidR="00EE404E" w:rsidRPr="008A579E">
        <w:t>Hallituksen vastineen mukaan v</w:t>
      </w:r>
      <w:r w:rsidR="00E02A00" w:rsidRPr="008A579E">
        <w:t xml:space="preserve">oimaanpanolain 18 §:n ja 21 §:n mukaisia omaisuusjärjestelyjä, jotka kunnassa voidaan kirjata peruspääomaa vastaan, ei hyväksyttäisi </w:t>
      </w:r>
      <w:r w:rsidR="00B31285" w:rsidRPr="008A579E">
        <w:t xml:space="preserve">kompensoitavina </w:t>
      </w:r>
      <w:r w:rsidR="00E02A00" w:rsidRPr="008A579E">
        <w:t>kustannuksena.</w:t>
      </w:r>
      <w:r w:rsidR="00970887" w:rsidRPr="008A579E">
        <w:t xml:space="preserve"> Tällaista rajoitusta ei kuitenka</w:t>
      </w:r>
      <w:r w:rsidR="00B31285" w:rsidRPr="008A579E">
        <w:t>an ole kirjoitettu voimaanpanolakiin ehdotetun kompensaatiosäännöksen (35 §) pykälätekstiin</w:t>
      </w:r>
      <w:r w:rsidR="00970887" w:rsidRPr="008A579E">
        <w:t>.</w:t>
      </w:r>
      <w:r w:rsidR="00E02A00" w:rsidRPr="008A579E">
        <w:t xml:space="preserve"> Voimaanpanolain mukaan sen 18 §:ssä tarkoitettujen kuntayhtymien jäsenosuuksien ja 21 §:ssä tarkoitetun irtaimen omaisuuden poistuminen kirjataan kunnan kirjanpidossa peruspääomaa vastaan, jollei kunta toisin päätä. Tämä tarkoittaa, että vastineen mukaan peruspääomaa vastaan kirjattavia kuntayhtymäosuuksia ja kunnan irtainta omaisuutta ei hyväksyttäisi korvattavina kustannuksina. Ei vaikka ne kirjattaisiin tulosvaikutteisesti, koska ne on mahdollista kirjata peruspääomaa vastaan.</w:t>
      </w:r>
    </w:p>
    <w:p w:rsidR="00E4137C" w:rsidRPr="008A579E" w:rsidRDefault="00E4137C" w:rsidP="00E4137C">
      <w:pPr>
        <w:pStyle w:val="Luettelokappale"/>
        <w:ind w:left="1304"/>
        <w:rPr>
          <w:i/>
          <w:iCs/>
        </w:rPr>
      </w:pPr>
    </w:p>
    <w:p w:rsidR="00E45D7A" w:rsidRPr="008A579E" w:rsidRDefault="00E02A00" w:rsidP="00884976">
      <w:pPr>
        <w:pStyle w:val="Luettelokappale"/>
        <w:ind w:left="1304"/>
        <w:rPr>
          <w:rFonts w:asciiTheme="majorHAnsi" w:hAnsiTheme="majorHAnsi"/>
        </w:rPr>
      </w:pPr>
      <w:r w:rsidRPr="008A579E">
        <w:rPr>
          <w:rFonts w:asciiTheme="majorHAnsi" w:hAnsiTheme="majorHAnsi"/>
        </w:rPr>
        <w:t>Kunt</w:t>
      </w:r>
      <w:r w:rsidR="00E45D7A" w:rsidRPr="008A579E">
        <w:rPr>
          <w:rFonts w:asciiTheme="majorHAnsi" w:hAnsiTheme="majorHAnsi"/>
        </w:rPr>
        <w:t xml:space="preserve">aliitto pitää oikeansuuntaisena </w:t>
      </w:r>
      <w:r w:rsidRPr="008A579E">
        <w:rPr>
          <w:rFonts w:asciiTheme="majorHAnsi" w:hAnsiTheme="majorHAnsi"/>
        </w:rPr>
        <w:t>hallituksen vastineen muutosesitystä, jonka mukaan kunta, jon</w:t>
      </w:r>
      <w:r w:rsidR="00E45D7A" w:rsidRPr="008A579E">
        <w:rPr>
          <w:rFonts w:asciiTheme="majorHAnsi" w:hAnsiTheme="majorHAnsi"/>
        </w:rPr>
        <w:t xml:space="preserve">ka veroprosentti on vähintään 2,0 prosenttiyksikköä kesimääräistä veroprosenttia korkeampi, on oikeutettu kompensaatioon osasta kustannuksia. On tärkeää, että kompensaatiomallissa huomioidaan erityisen vaikeassa taloudellisessa tilanteessa olevat kunnat, mutta vastineen ehdotus on tältä osin epäselvä eikä kriteeri välttämättä parhaiten kuvasta kuntien taloudellista tilannetta. </w:t>
      </w:r>
      <w:r w:rsidR="00EE404E" w:rsidRPr="008A579E">
        <w:rPr>
          <w:rFonts w:asciiTheme="majorHAnsi" w:hAnsiTheme="majorHAnsi"/>
        </w:rPr>
        <w:t>Lisäksi on huomioitava, että kompensaatiosääntelyn tulee aidosti koskea kaikenlaisia kuntia.</w:t>
      </w:r>
    </w:p>
    <w:p w:rsidR="00383F81" w:rsidRPr="008A579E" w:rsidRDefault="00383F81" w:rsidP="00884976">
      <w:pPr>
        <w:pStyle w:val="Luettelokappale"/>
        <w:ind w:left="1304"/>
        <w:rPr>
          <w:rFonts w:asciiTheme="majorHAnsi" w:hAnsiTheme="majorHAnsi"/>
        </w:rPr>
      </w:pPr>
    </w:p>
    <w:p w:rsidR="00383F81" w:rsidRPr="008A579E" w:rsidRDefault="00383F81" w:rsidP="00884976">
      <w:pPr>
        <w:pStyle w:val="Luettelokappale"/>
        <w:ind w:left="1304"/>
        <w:rPr>
          <w:rFonts w:asciiTheme="majorHAnsi" w:hAnsiTheme="majorHAnsi"/>
        </w:rPr>
      </w:pPr>
      <w:r w:rsidRPr="008A579E">
        <w:rPr>
          <w:rFonts w:asciiTheme="majorHAnsi" w:hAnsiTheme="majorHAnsi"/>
        </w:rPr>
        <w:t xml:space="preserve">Lisäksi Kuntaliitto toteaa aikaisempiin lausuntoihinsa viitaten, että oikeutta kompensaatioon ja sen määrää tulisi arvioida menettelyssä, jossa valtio ja kunta olisivat tasa-arvoisessa asemassa. Kompensaatiota ei siten tulisi ratkaista valtiovarainministeriön hallintopäätöksellä vaan </w:t>
      </w:r>
      <w:r w:rsidR="004A071B" w:rsidRPr="008A579E">
        <w:rPr>
          <w:rFonts w:asciiTheme="majorHAnsi" w:hAnsiTheme="majorHAnsi"/>
        </w:rPr>
        <w:t xml:space="preserve">valtion ja kunnan välisessä neuvottelussa (mahdollinen erimielisyys tämän jälkeen </w:t>
      </w:r>
      <w:r w:rsidRPr="008A579E">
        <w:rPr>
          <w:rFonts w:asciiTheme="majorHAnsi" w:hAnsiTheme="majorHAnsi"/>
        </w:rPr>
        <w:t>hallintoriita-asiana hallinto-oikeudessa</w:t>
      </w:r>
      <w:r w:rsidR="004A071B" w:rsidRPr="008A579E">
        <w:rPr>
          <w:rFonts w:asciiTheme="majorHAnsi" w:hAnsiTheme="majorHAnsi"/>
        </w:rPr>
        <w:t>)</w:t>
      </w:r>
      <w:r w:rsidRPr="008A579E">
        <w:rPr>
          <w:rFonts w:asciiTheme="majorHAnsi" w:hAnsiTheme="majorHAnsi"/>
        </w:rPr>
        <w:t xml:space="preserve"> tai erillisessä selvitysmenettelyssä.</w:t>
      </w:r>
    </w:p>
    <w:p w:rsidR="0061474F" w:rsidRPr="008A579E" w:rsidRDefault="0061474F" w:rsidP="00884976">
      <w:pPr>
        <w:pStyle w:val="Luettelokappale"/>
        <w:ind w:left="1304"/>
        <w:rPr>
          <w:rFonts w:asciiTheme="majorHAnsi" w:hAnsiTheme="majorHAnsi"/>
        </w:rPr>
      </w:pPr>
    </w:p>
    <w:p w:rsidR="0061474F" w:rsidRPr="008A579E" w:rsidRDefault="0061474F" w:rsidP="0061474F">
      <w:pPr>
        <w:pStyle w:val="Luettelokappale"/>
        <w:ind w:left="0"/>
        <w:rPr>
          <w:b/>
        </w:rPr>
      </w:pPr>
    </w:p>
    <w:p w:rsidR="0061474F" w:rsidRPr="008A579E" w:rsidRDefault="0061474F" w:rsidP="0061474F">
      <w:pPr>
        <w:pStyle w:val="Luettelokappale"/>
        <w:ind w:left="0"/>
        <w:rPr>
          <w:b/>
        </w:rPr>
      </w:pPr>
    </w:p>
    <w:p w:rsidR="0061474F" w:rsidRPr="008A579E" w:rsidRDefault="0061474F" w:rsidP="0061474F">
      <w:pPr>
        <w:pStyle w:val="Luettelokappale"/>
        <w:ind w:left="0"/>
        <w:rPr>
          <w:b/>
        </w:rPr>
      </w:pPr>
    </w:p>
    <w:p w:rsidR="0061474F" w:rsidRPr="008A579E" w:rsidRDefault="0061474F" w:rsidP="0061474F">
      <w:pPr>
        <w:pStyle w:val="Luettelokappale"/>
        <w:ind w:left="0"/>
        <w:rPr>
          <w:b/>
        </w:rPr>
      </w:pPr>
    </w:p>
    <w:p w:rsidR="0061474F" w:rsidRPr="008A579E" w:rsidRDefault="0061474F" w:rsidP="0061474F">
      <w:pPr>
        <w:pStyle w:val="Luettelokappale"/>
        <w:ind w:left="0"/>
        <w:rPr>
          <w:b/>
        </w:rPr>
      </w:pPr>
    </w:p>
    <w:p w:rsidR="0061474F" w:rsidRPr="008A579E" w:rsidRDefault="0061474F" w:rsidP="0061474F">
      <w:pPr>
        <w:pStyle w:val="Luettelokappale"/>
        <w:ind w:left="0"/>
        <w:rPr>
          <w:b/>
        </w:rPr>
      </w:pPr>
      <w:r w:rsidRPr="008A579E">
        <w:rPr>
          <w:b/>
        </w:rPr>
        <w:t xml:space="preserve">Valinnanvapauden vaiheistus </w:t>
      </w:r>
    </w:p>
    <w:p w:rsidR="0061474F" w:rsidRPr="008A579E" w:rsidRDefault="0061474F" w:rsidP="0061474F">
      <w:pPr>
        <w:pStyle w:val="Luettelokappale"/>
        <w:ind w:left="0"/>
        <w:rPr>
          <w:b/>
        </w:rPr>
      </w:pPr>
    </w:p>
    <w:p w:rsidR="0061474F" w:rsidRPr="008A579E" w:rsidRDefault="0061474F" w:rsidP="0061474F">
      <w:pPr>
        <w:pStyle w:val="Luettelokappale"/>
        <w:ind w:left="1304"/>
        <w:rPr>
          <w:b/>
        </w:rPr>
      </w:pPr>
      <w:r w:rsidRPr="008A579E">
        <w:t>Perustuslakivaliokunta päätyi kokonaisarviossaan siihen, että uudistus</w:t>
      </w:r>
      <w:r w:rsidR="00081FB8" w:rsidRPr="008A579E">
        <w:t>ta</w:t>
      </w:r>
      <w:r w:rsidRPr="008A579E">
        <w:t xml:space="preserve"> ei ole hallituksen esittämässä muodossa mahdollista toteuttaa hallitusti suunnitellussa aikataulussa. Valiokun</w:t>
      </w:r>
      <w:r w:rsidR="00081FB8" w:rsidRPr="008A579E">
        <w:t>nan</w:t>
      </w:r>
      <w:r w:rsidRPr="008A579E">
        <w:t xml:space="preserve"> mielestä siirtymäkauden olennainen pidentäminen on valtiosääntöoikeudelliselta kannalta välttämätön tapa vähentää uudistukseen liittyviä riskejä ja epävarmuustekijöitä.</w:t>
      </w:r>
    </w:p>
    <w:p w:rsidR="0061474F" w:rsidRPr="008A579E" w:rsidRDefault="0061474F" w:rsidP="0061474F">
      <w:pPr>
        <w:pStyle w:val="Luettelokappale"/>
        <w:ind w:left="1304"/>
      </w:pPr>
    </w:p>
    <w:p w:rsidR="0061474F" w:rsidRPr="008A579E" w:rsidRDefault="0061474F" w:rsidP="0061474F">
      <w:pPr>
        <w:pStyle w:val="Luettelokappale"/>
        <w:ind w:left="1304"/>
      </w:pPr>
      <w:r w:rsidRPr="008A579E">
        <w:t>Sosiaali- ja terveysministeriö ehdottaa lakiesitykseen pykälämuutoksia niin, että suoran valinnan sote-keskuspalveluja koskeva sääntely toimeenpantaisiin kokonaisuudessaan 1.1.2022 ja asiakasseteliä ja henkilökohtaista budjettia koskevaa siirtymäaikaa jatkettaisiin kuudella kuukaudella. Maakunnalla olisi mahdollisuus hakea valtioneuvostolta lupaa tätä varhaisempaan aloitukseen sekä myös määräajan pidennystä enintään 1.1.2023 asti. Hallitus e</w:t>
      </w:r>
      <w:r w:rsidR="00081FB8" w:rsidRPr="008A579E">
        <w:t>hdottaa</w:t>
      </w:r>
      <w:r w:rsidRPr="008A579E">
        <w:t xml:space="preserve"> </w:t>
      </w:r>
      <w:r w:rsidR="00081FB8" w:rsidRPr="008A579E">
        <w:t xml:space="preserve">valinnanvapauslakiehdotukseen </w:t>
      </w:r>
      <w:r w:rsidRPr="008A579E">
        <w:t>uutta 90 §:ää, jossa o</w:t>
      </w:r>
      <w:r w:rsidR="00081FB8" w:rsidRPr="008A579E">
        <w:t>lisi</w:t>
      </w:r>
      <w:r w:rsidRPr="008A579E">
        <w:t xml:space="preserve"> 8-kohtainen kriteeristö, jonka tä</w:t>
      </w:r>
      <w:r w:rsidR="00081FB8" w:rsidRPr="008A579E">
        <w:t>ytyttyä valtioneuvosto voisi myö</w:t>
      </w:r>
      <w:r w:rsidRPr="008A579E">
        <w:t>ntää maakunnalle luvan suoran valinnan palvelujen siirtämiselle sosiaali- ja terveyskeskusten tuotantovastuulle ennen 1.1.2022.  Maakunnan olisi otettava asiakasseteli ja henkilökohtainen budjetti käyttöön 1.1.2021 eli kuusi kuukautta aiempaa esitystä myöhemmin.</w:t>
      </w:r>
    </w:p>
    <w:p w:rsidR="0061474F" w:rsidRPr="008A579E" w:rsidRDefault="0061474F" w:rsidP="0061474F">
      <w:pPr>
        <w:pStyle w:val="Luettelokappale"/>
        <w:ind w:left="1304"/>
      </w:pPr>
    </w:p>
    <w:p w:rsidR="0061474F" w:rsidRPr="008A579E" w:rsidRDefault="0061474F" w:rsidP="0061474F">
      <w:pPr>
        <w:ind w:left="1304"/>
      </w:pPr>
      <w:r w:rsidRPr="008A579E">
        <w:t xml:space="preserve">Kuntaliitto viittaa aiemmin eduskunnalle antamiinsa </w:t>
      </w:r>
      <w:r w:rsidR="00081FB8" w:rsidRPr="008A579E">
        <w:t>lausuntoihin (6.4, 11.4,</w:t>
      </w:r>
      <w:r w:rsidRPr="008A579E">
        <w:t xml:space="preserve"> ja 17.4.2018</w:t>
      </w:r>
      <w:r w:rsidR="00081FB8" w:rsidRPr="008A579E">
        <w:t>)</w:t>
      </w:r>
      <w:r w:rsidRPr="008A579E">
        <w:t>. Niis</w:t>
      </w:r>
      <w:r w:rsidR="00D9028E" w:rsidRPr="008A579E">
        <w:t>sä se on todennut, että HE</w:t>
      </w:r>
      <w:r w:rsidR="00673111" w:rsidRPr="008A579E">
        <w:t xml:space="preserve"> </w:t>
      </w:r>
      <w:r w:rsidRPr="008A579E">
        <w:t>16/2018 vp esitetty aikataulu yhdistettynä maakuntien kapeaan liikkumavara</w:t>
      </w:r>
      <w:r w:rsidR="00081FB8" w:rsidRPr="008A579E">
        <w:t>a</w:t>
      </w:r>
      <w:r w:rsidRPr="008A579E">
        <w:t>n muodostaa merkittäviä riskejä erityisesti palveluintegraatio</w:t>
      </w:r>
      <w:r w:rsidR="00081FB8" w:rsidRPr="008A579E">
        <w:t>lle</w:t>
      </w:r>
      <w:r w:rsidRPr="008A579E">
        <w:t>, sen edellyttämien tietojärjestelmien onnistuneille toteutuksille ja käyttöönotoille sekä kustannusten nousulle erityisesti siirtymävaiheessa.</w:t>
      </w:r>
    </w:p>
    <w:p w:rsidR="0061474F" w:rsidRPr="008A579E" w:rsidRDefault="0061474F" w:rsidP="0061474F">
      <w:pPr>
        <w:pStyle w:val="Luettelokappale"/>
        <w:ind w:left="2600"/>
      </w:pPr>
    </w:p>
    <w:p w:rsidR="0061474F" w:rsidRPr="008A579E" w:rsidRDefault="0061474F" w:rsidP="0061474F">
      <w:pPr>
        <w:ind w:left="1304"/>
      </w:pPr>
      <w:r w:rsidRPr="008A579E">
        <w:t>Kuntaliitto pitää hallituksen vastineessaan</w:t>
      </w:r>
      <w:r w:rsidR="00081FB8" w:rsidRPr="008A579E">
        <w:t xml:space="preserve"> valinnanvapauslain 12 lukuun</w:t>
      </w:r>
      <w:r w:rsidRPr="008A579E">
        <w:t xml:space="preserve"> </w:t>
      </w:r>
      <w:r w:rsidR="00081FB8" w:rsidRPr="008A579E">
        <w:t>ehdottamia</w:t>
      </w:r>
      <w:r w:rsidRPr="008A579E">
        <w:t xml:space="preserve"> voimaantulon aikataulun muutoksia kannatettavina. Sosiaali- ja terveyskeskusten aikaisempi aloittaminen edellyttää kuitenkin, että valinnanvapauden valtakunnalliset tiedonhallintapalvelut ovat toimintavalmiina jo silloin, kun valtioneuvosto myöntää ensimmäisen aikaistetun aloitusluvan. Tämä täytyy ottaa huomioon valtion toteuttamisvastuulla olevien tiedonhallintapalvelujen valmistelun priorisoinnissa, jotta maakunnilla olisi tosiasiallinen mahdollisuus aloittaa 90 §:n mukainen sote-keskustoiminta. </w:t>
      </w:r>
    </w:p>
    <w:p w:rsidR="0061474F" w:rsidRPr="008A579E" w:rsidRDefault="0061474F" w:rsidP="0061474F">
      <w:pPr>
        <w:pStyle w:val="Luettelokappale"/>
        <w:ind w:left="2600"/>
      </w:pPr>
    </w:p>
    <w:p w:rsidR="0061474F" w:rsidRPr="008A579E" w:rsidRDefault="0061474F" w:rsidP="0061474F">
      <w:pPr>
        <w:ind w:left="1304"/>
      </w:pPr>
      <w:r w:rsidRPr="008A579E">
        <w:t>Aiemmissa lausunnossaan sosiaali- ja terveysvaliokunnalle 3.5.2018 Kuntaliitto on todennut, että valinnanvapausmallin edellyttämien uusien tietojärjestelmien ja tietojärjestelmämuutosten toteuttamisen ja niiden käyttöönoton voidaan arvioida kestävän 3-5 vuotta valinnanvapauslain hyväksymisestä.</w:t>
      </w:r>
    </w:p>
    <w:p w:rsidR="0061474F" w:rsidRPr="008A579E" w:rsidRDefault="0061474F" w:rsidP="0061474F">
      <w:pPr>
        <w:pStyle w:val="Luettelokappale"/>
        <w:ind w:left="2600"/>
      </w:pPr>
    </w:p>
    <w:p w:rsidR="0061474F" w:rsidRPr="008A579E" w:rsidRDefault="0061474F" w:rsidP="0061474F">
      <w:pPr>
        <w:pStyle w:val="Luettelokappale"/>
        <w:ind w:left="1304"/>
      </w:pPr>
      <w:r w:rsidRPr="008A579E">
        <w:t xml:space="preserve">Kuntaliitto toteaa, että muun sosiaali- ja terveydenhuollon lainsäädännön valmistelussa tulee ottaa huomioon </w:t>
      </w:r>
      <w:r w:rsidR="00081FB8" w:rsidRPr="008A579E">
        <w:t xml:space="preserve">hallituksen ilmoittaman </w:t>
      </w:r>
      <w:r w:rsidRPr="008A579E">
        <w:t>maakuntien järjestämisvastuun aloittamisajankohdan muuttuminen. Uutta lainsäädäntöä ei ole toiminnallisesti eikä kustannusten kannalta tarkoituksenmukaista tuoda sovellettavaksi vanhaan kuntapohjaiseen järjestelmään.</w:t>
      </w:r>
    </w:p>
    <w:p w:rsidR="0061474F" w:rsidRPr="008A579E" w:rsidRDefault="0061474F" w:rsidP="0061474F">
      <w:pPr>
        <w:pStyle w:val="Luettelokappale"/>
        <w:ind w:left="1304"/>
      </w:pPr>
    </w:p>
    <w:p w:rsidR="0061474F" w:rsidRPr="008A579E" w:rsidRDefault="0061474F" w:rsidP="0061474F">
      <w:pPr>
        <w:pStyle w:val="Luettelokappale"/>
        <w:ind w:left="1304"/>
      </w:pPr>
      <w:r w:rsidRPr="008A579E">
        <w:t>Aikataulun lykkäytyminen</w:t>
      </w:r>
      <w:r w:rsidR="003F47FB" w:rsidRPr="008A579E">
        <w:t xml:space="preserve"> hallituksen ilmoittamalla tavalla </w:t>
      </w:r>
      <w:r w:rsidRPr="008A579E">
        <w:t>antaisi aikaa myös valmistella sosiaali- ja terveydenhuollon asiakas- ja potilastietojen käsittelyä ja salassapitoa koskevaa lainsäädäntöä siten, että sote-uudistuksella ja siihen liittyvällä valinnanvapausuudistuksella voitaisiin paremmin saavuttaa integraatioon ja tehokkaaseen palveluntuotantoon liittyviä tavoitteita. Valmistelussa tulee ottaa huomioon tiedonkulun varmistaminen, mutta toisaalta myös tietosuojasääntelyn täsmällisyys, tarkkarajaisuus ja tietosuoja-asetuksenmukaisuus. Valinnanvapauslain 76 §</w:t>
      </w:r>
      <w:r w:rsidR="00673111" w:rsidRPr="008A579E">
        <w:t>:ään</w:t>
      </w:r>
      <w:r w:rsidR="008A579E" w:rsidRPr="008A579E">
        <w:t xml:space="preserve"> </w:t>
      </w:r>
      <w:r w:rsidR="00673111" w:rsidRPr="008A579E">
        <w:t xml:space="preserve">ehdotettava kokonaan uusi </w:t>
      </w:r>
      <w:r w:rsidRPr="008A579E">
        <w:t>erillinen asiakassuunnitelmarekisteri luo uusia haasteita tietojärjestelmien toteu</w:t>
      </w:r>
      <w:r w:rsidR="008A579E" w:rsidRPr="008A579E">
        <w:t xml:space="preserve">ttamiselle. </w:t>
      </w:r>
    </w:p>
    <w:p w:rsidR="0061474F" w:rsidRPr="008A579E" w:rsidRDefault="0061474F" w:rsidP="003F47FB">
      <w:r w:rsidRPr="008A579E">
        <w:t xml:space="preserve"> </w:t>
      </w:r>
    </w:p>
    <w:p w:rsidR="0061474F" w:rsidRPr="008A579E" w:rsidRDefault="0061474F" w:rsidP="0061474F">
      <w:pPr>
        <w:pStyle w:val="Luettelokappale"/>
        <w:ind w:left="1304"/>
      </w:pPr>
      <w:r w:rsidRPr="008A579E">
        <w:t xml:space="preserve">Todettakoon vielä, että pääministerin ilmoituksessa 27.6.2018 maakunta- sekä sosiaali- ja terveydenhuollon uudistuksen voimaantulon siirtymisestä alkamaan 1.1.2021 on todettu: ” … maakuntien aloittamisen ajankohtaa on siirrettävä vuoden 2021 alkuun. Valinnanvapauden aloittaminen siirtyy vastaavasti vuodella eteenpäin viime viikolla vastineella annetuista päivämääristä.” Kuntaliitto toteaa, että edellä mainitun tulee tarkoittaa sitä, että suoran valinnan palvelujen, asiakassetelin ja henkilökohtaisen budjetin käyttöönotolle STM:n vastineessa 18.6.2018 asetetut määräajat siirtyvät vuodella eteenpäin. Tämä on ehdoton edellytys valinnanvapauslainsäädännön </w:t>
      </w:r>
      <w:r w:rsidR="008A579E" w:rsidRPr="008A579E">
        <w:t xml:space="preserve">hallitulle </w:t>
      </w:r>
      <w:r w:rsidRPr="008A579E">
        <w:t xml:space="preserve">käyttöönotolle. </w:t>
      </w:r>
    </w:p>
    <w:p w:rsidR="0061474F" w:rsidRPr="008A579E" w:rsidRDefault="0061474F" w:rsidP="0061474F">
      <w:pPr>
        <w:pStyle w:val="Vaintekstin"/>
        <w:rPr>
          <w:rFonts w:asciiTheme="minorHAnsi" w:hAnsiTheme="minorHAnsi" w:cstheme="minorHAnsi"/>
          <w:sz w:val="18"/>
          <w:szCs w:val="18"/>
        </w:rPr>
      </w:pPr>
    </w:p>
    <w:p w:rsidR="00673111" w:rsidRPr="008A579E" w:rsidRDefault="00673111" w:rsidP="0061474F">
      <w:pPr>
        <w:pStyle w:val="Vaintekstin"/>
        <w:rPr>
          <w:rFonts w:asciiTheme="minorHAnsi" w:hAnsiTheme="minorHAnsi" w:cstheme="minorHAnsi"/>
          <w:sz w:val="18"/>
          <w:szCs w:val="18"/>
        </w:rPr>
      </w:pPr>
    </w:p>
    <w:p w:rsidR="00673111" w:rsidRPr="008A579E" w:rsidRDefault="00673111" w:rsidP="0061474F">
      <w:pPr>
        <w:pStyle w:val="Vaintekstin"/>
        <w:rPr>
          <w:rFonts w:asciiTheme="minorHAnsi" w:hAnsiTheme="minorHAnsi"/>
          <w:b/>
          <w:bCs/>
          <w:sz w:val="18"/>
          <w:szCs w:val="18"/>
        </w:rPr>
      </w:pPr>
    </w:p>
    <w:p w:rsidR="0061474F" w:rsidRPr="008A579E" w:rsidRDefault="0061474F" w:rsidP="0061474F">
      <w:pPr>
        <w:pStyle w:val="Vaintekstin"/>
        <w:rPr>
          <w:rFonts w:asciiTheme="minorHAnsi" w:hAnsiTheme="minorHAnsi"/>
          <w:b/>
          <w:bCs/>
          <w:sz w:val="18"/>
          <w:szCs w:val="18"/>
        </w:rPr>
      </w:pPr>
    </w:p>
    <w:p w:rsidR="0061474F" w:rsidRPr="008A579E" w:rsidRDefault="0061474F" w:rsidP="0061474F">
      <w:pPr>
        <w:pStyle w:val="Vaintekstin"/>
        <w:rPr>
          <w:rFonts w:asciiTheme="minorHAnsi" w:hAnsiTheme="minorHAnsi"/>
          <w:b/>
          <w:bCs/>
          <w:sz w:val="18"/>
          <w:szCs w:val="18"/>
        </w:rPr>
      </w:pPr>
      <w:r w:rsidRPr="008A579E">
        <w:rPr>
          <w:rFonts w:asciiTheme="minorHAnsi" w:hAnsiTheme="minorHAnsi"/>
          <w:b/>
          <w:bCs/>
          <w:sz w:val="18"/>
          <w:szCs w:val="18"/>
        </w:rPr>
        <w:lastRenderedPageBreak/>
        <w:t>Valtakunnallisten tietojärjestelmäpalvelujen rahoitus ja vaiheistus</w:t>
      </w:r>
    </w:p>
    <w:p w:rsidR="0061474F" w:rsidRPr="008A579E" w:rsidRDefault="0061474F" w:rsidP="0061474F">
      <w:pPr>
        <w:pStyle w:val="Vaintekstin"/>
        <w:rPr>
          <w:rFonts w:asciiTheme="minorHAnsi" w:hAnsiTheme="minorHAnsi"/>
          <w:sz w:val="18"/>
          <w:szCs w:val="18"/>
        </w:rPr>
      </w:pPr>
    </w:p>
    <w:p w:rsidR="0061474F" w:rsidRPr="008A579E" w:rsidRDefault="0061474F" w:rsidP="0061474F">
      <w:pPr>
        <w:pStyle w:val="Vaintekstin"/>
        <w:ind w:left="1304"/>
        <w:rPr>
          <w:rFonts w:asciiTheme="minorHAnsi" w:hAnsiTheme="minorHAnsi"/>
          <w:sz w:val="18"/>
          <w:szCs w:val="18"/>
        </w:rPr>
      </w:pPr>
      <w:r w:rsidRPr="008A579E">
        <w:rPr>
          <w:rFonts w:asciiTheme="minorHAnsi" w:hAnsiTheme="minorHAnsi"/>
          <w:sz w:val="18"/>
          <w:szCs w:val="18"/>
        </w:rPr>
        <w:t xml:space="preserve">Kuten Kuntaliitto on aiemmissa lausunnoissaan todennut, on maakuntien ICT-järjestelmien yhteensovittaminen tulevina vuosina mittava operaatio. Nyt ehdotetut muutokset sekä uudistuksen voimaantulon aikatauluihin, että valinnanvapausmallin käyttöönottoon ovat tiedonhallinnan ja ICT-järjestelmien näkökulmasta oikean suuntaisia ja tukevat uudistuksen hallittua toteuttamista. </w:t>
      </w:r>
    </w:p>
    <w:p w:rsidR="0061474F" w:rsidRPr="008A579E" w:rsidRDefault="0061474F" w:rsidP="0061474F">
      <w:pPr>
        <w:pStyle w:val="Vaintekstin"/>
        <w:rPr>
          <w:rFonts w:asciiTheme="minorHAnsi" w:hAnsiTheme="minorHAnsi"/>
          <w:sz w:val="18"/>
          <w:szCs w:val="18"/>
        </w:rPr>
      </w:pPr>
    </w:p>
    <w:p w:rsidR="008A579E" w:rsidRPr="008A579E" w:rsidRDefault="0061474F" w:rsidP="0061474F">
      <w:pPr>
        <w:pStyle w:val="Vaintekstin"/>
        <w:ind w:left="1304"/>
        <w:rPr>
          <w:rFonts w:asciiTheme="minorHAnsi" w:hAnsiTheme="minorHAnsi"/>
          <w:sz w:val="18"/>
          <w:szCs w:val="18"/>
        </w:rPr>
      </w:pPr>
      <w:r w:rsidRPr="008A579E">
        <w:rPr>
          <w:rFonts w:asciiTheme="minorHAnsi" w:hAnsiTheme="minorHAnsi"/>
          <w:sz w:val="18"/>
          <w:szCs w:val="18"/>
        </w:rPr>
        <w:t>Esitetty vaiheistus tukee uudistuksen toteuttamista ja maakuntien tosiasiallisia mahdollisuuksia pakollisten muutosten toteuttamiseen ja mm. tiedolla johtamisen ratkaisujen hyödyntämiseen</w:t>
      </w:r>
      <w:r w:rsidR="008A579E" w:rsidRPr="008A579E">
        <w:rPr>
          <w:rFonts w:asciiTheme="minorHAnsi" w:hAnsiTheme="minorHAnsi"/>
          <w:sz w:val="18"/>
          <w:szCs w:val="18"/>
        </w:rPr>
        <w:t xml:space="preserve">. </w:t>
      </w:r>
      <w:r w:rsidRPr="008A579E">
        <w:rPr>
          <w:rFonts w:asciiTheme="minorHAnsi" w:hAnsiTheme="minorHAnsi"/>
          <w:sz w:val="18"/>
          <w:szCs w:val="18"/>
        </w:rPr>
        <w:t xml:space="preserve">ICT-järjestelmien käynnistysvaiheen muutokset tulevat </w:t>
      </w:r>
      <w:r w:rsidR="008A579E" w:rsidRPr="008A579E">
        <w:rPr>
          <w:rFonts w:asciiTheme="minorHAnsi" w:hAnsiTheme="minorHAnsi"/>
          <w:sz w:val="18"/>
          <w:szCs w:val="18"/>
        </w:rPr>
        <w:t xml:space="preserve">kuitenkin </w:t>
      </w:r>
      <w:r w:rsidRPr="008A579E">
        <w:rPr>
          <w:rFonts w:asciiTheme="minorHAnsi" w:hAnsiTheme="minorHAnsi"/>
          <w:sz w:val="18"/>
          <w:szCs w:val="18"/>
        </w:rPr>
        <w:t>jatkumaan myös järjestämisvastuun siirtymisen ja valinnanvapausmallin käynnistämisen aikana sekä näiden jälkeen. Kyseisiin ensimmäisten vuosien</w:t>
      </w:r>
      <w:r w:rsidR="008A579E" w:rsidRPr="008A579E">
        <w:rPr>
          <w:rFonts w:asciiTheme="minorHAnsi" w:hAnsiTheme="minorHAnsi"/>
          <w:sz w:val="18"/>
          <w:szCs w:val="18"/>
        </w:rPr>
        <w:t xml:space="preserve"> muutoskustannuksiin tulee</w:t>
      </w:r>
      <w:r w:rsidRPr="008A579E">
        <w:rPr>
          <w:rFonts w:asciiTheme="minorHAnsi" w:hAnsiTheme="minorHAnsi"/>
          <w:sz w:val="18"/>
          <w:szCs w:val="18"/>
        </w:rPr>
        <w:t xml:space="preserve"> varata rahoitusta täysimääräisesti valtion toimesta sekä arvioida muutoskustannukset yhdessä maakuntien kanssa. </w:t>
      </w:r>
    </w:p>
    <w:p w:rsidR="0061474F" w:rsidRPr="008A579E" w:rsidRDefault="00EC7DA4" w:rsidP="0061474F">
      <w:pPr>
        <w:pStyle w:val="Vaintekstin"/>
        <w:ind w:left="1304"/>
        <w:rPr>
          <w:rStyle w:val="Voimakas"/>
          <w:rFonts w:asciiTheme="minorHAnsi" w:hAnsiTheme="minorHAnsi"/>
          <w:b w:val="0"/>
          <w:sz w:val="18"/>
          <w:szCs w:val="18"/>
        </w:rPr>
      </w:pPr>
      <w:r>
        <w:rPr>
          <w:rFonts w:asciiTheme="minorHAnsi" w:hAnsiTheme="minorHAnsi"/>
          <w:sz w:val="18"/>
          <w:szCs w:val="18"/>
        </w:rPr>
        <w:t xml:space="preserve">Uudistuksen aikataulumuutosten vuoksi </w:t>
      </w:r>
      <w:r w:rsidR="008A579E" w:rsidRPr="008A579E">
        <w:rPr>
          <w:rFonts w:asciiTheme="minorHAnsi" w:hAnsiTheme="minorHAnsi"/>
          <w:sz w:val="18"/>
          <w:szCs w:val="18"/>
        </w:rPr>
        <w:t>tulee</w:t>
      </w:r>
      <w:r w:rsidR="0061474F" w:rsidRPr="008A579E">
        <w:rPr>
          <w:rFonts w:asciiTheme="minorHAnsi" w:hAnsiTheme="minorHAnsi"/>
          <w:sz w:val="18"/>
          <w:szCs w:val="18"/>
        </w:rPr>
        <w:t xml:space="preserve"> arvioida </w:t>
      </w:r>
      <w:r>
        <w:rPr>
          <w:rFonts w:asciiTheme="minorHAnsi" w:hAnsiTheme="minorHAnsi"/>
          <w:sz w:val="18"/>
          <w:szCs w:val="18"/>
        </w:rPr>
        <w:t xml:space="preserve">myös </w:t>
      </w:r>
      <w:r w:rsidR="0061474F" w:rsidRPr="008A579E">
        <w:rPr>
          <w:rFonts w:asciiTheme="minorHAnsi" w:hAnsiTheme="minorHAnsi"/>
          <w:sz w:val="18"/>
          <w:szCs w:val="18"/>
          <w:shd w:val="clear" w:color="auto" w:fill="FFFFFF"/>
        </w:rPr>
        <w:t>muiden kuin sote- ja maakuntauudistuksen toimeenpanosta aiheutuvien lainsäädännöstä johtuvien välttämättömien tietojärjestelmämuutosten </w:t>
      </w:r>
      <w:r w:rsidR="0061474F" w:rsidRPr="008A579E">
        <w:rPr>
          <w:rStyle w:val="Voimakas"/>
          <w:rFonts w:asciiTheme="minorHAnsi" w:hAnsiTheme="minorHAnsi"/>
          <w:b w:val="0"/>
          <w:sz w:val="18"/>
          <w:szCs w:val="18"/>
        </w:rPr>
        <w:t>siirtymäaikojen pidentämistä.</w:t>
      </w:r>
    </w:p>
    <w:p w:rsidR="0061474F" w:rsidRPr="008A579E" w:rsidRDefault="0061474F" w:rsidP="0061474F">
      <w:pPr>
        <w:pStyle w:val="Vaintekstin"/>
        <w:rPr>
          <w:rStyle w:val="Voimakas"/>
          <w:rFonts w:asciiTheme="minorHAnsi" w:hAnsiTheme="minorHAnsi"/>
          <w:sz w:val="18"/>
          <w:szCs w:val="18"/>
        </w:rPr>
      </w:pPr>
    </w:p>
    <w:p w:rsidR="0061474F" w:rsidRDefault="0061474F" w:rsidP="00910423">
      <w:pPr>
        <w:pStyle w:val="Vaintekstin"/>
        <w:ind w:left="1304"/>
        <w:rPr>
          <w:rStyle w:val="Voimakas"/>
          <w:rFonts w:asciiTheme="minorHAnsi" w:hAnsiTheme="minorHAnsi"/>
          <w:b w:val="0"/>
          <w:bCs w:val="0"/>
          <w:sz w:val="18"/>
          <w:szCs w:val="18"/>
          <w:shd w:val="clear" w:color="auto" w:fill="FFFFFF"/>
        </w:rPr>
      </w:pPr>
      <w:r w:rsidRPr="008A579E">
        <w:rPr>
          <w:rStyle w:val="Voimakas"/>
          <w:rFonts w:asciiTheme="minorHAnsi" w:hAnsiTheme="minorHAnsi"/>
          <w:b w:val="0"/>
          <w:bCs w:val="0"/>
          <w:sz w:val="18"/>
          <w:szCs w:val="18"/>
          <w:shd w:val="clear" w:color="auto" w:fill="FFFFFF"/>
        </w:rPr>
        <w:t>Kuntaliitto muistuttaa, että uud</w:t>
      </w:r>
      <w:r w:rsidR="00EC7DA4">
        <w:rPr>
          <w:rStyle w:val="Voimakas"/>
          <w:rFonts w:asciiTheme="minorHAnsi" w:hAnsiTheme="minorHAnsi"/>
          <w:b w:val="0"/>
          <w:bCs w:val="0"/>
          <w:sz w:val="18"/>
          <w:szCs w:val="18"/>
          <w:shd w:val="clear" w:color="auto" w:fill="FFFFFF"/>
        </w:rPr>
        <w:t>istuksen toimeenpanon onnistumin</w:t>
      </w:r>
      <w:r w:rsidRPr="008A579E">
        <w:rPr>
          <w:rStyle w:val="Voimakas"/>
          <w:rFonts w:asciiTheme="minorHAnsi" w:hAnsiTheme="minorHAnsi"/>
          <w:b w:val="0"/>
          <w:bCs w:val="0"/>
          <w:sz w:val="18"/>
          <w:szCs w:val="18"/>
          <w:shd w:val="clear" w:color="auto" w:fill="FFFFFF"/>
        </w:rPr>
        <w:t>en edellyt</w:t>
      </w:r>
      <w:r w:rsidR="00EC7DA4">
        <w:rPr>
          <w:rStyle w:val="Voimakas"/>
          <w:rFonts w:asciiTheme="minorHAnsi" w:hAnsiTheme="minorHAnsi"/>
          <w:b w:val="0"/>
          <w:bCs w:val="0"/>
          <w:sz w:val="18"/>
          <w:szCs w:val="18"/>
          <w:shd w:val="clear" w:color="auto" w:fill="FFFFFF"/>
        </w:rPr>
        <w:t>tää yhtenäisiä tukipalveluja</w:t>
      </w:r>
      <w:r w:rsidRPr="008A579E">
        <w:rPr>
          <w:rStyle w:val="Voimakas"/>
          <w:rFonts w:asciiTheme="minorHAnsi" w:hAnsiTheme="minorHAnsi"/>
          <w:b w:val="0"/>
          <w:bCs w:val="0"/>
          <w:sz w:val="18"/>
          <w:szCs w:val="18"/>
          <w:shd w:val="clear" w:color="auto" w:fill="FFFFFF"/>
        </w:rPr>
        <w:t>. Kuntaliitto on ai</w:t>
      </w:r>
      <w:r w:rsidR="003F47FB" w:rsidRPr="008A579E">
        <w:rPr>
          <w:rStyle w:val="Voimakas"/>
          <w:rFonts w:asciiTheme="minorHAnsi" w:hAnsiTheme="minorHAnsi"/>
          <w:b w:val="0"/>
          <w:bCs w:val="0"/>
          <w:sz w:val="18"/>
          <w:szCs w:val="18"/>
          <w:shd w:val="clear" w:color="auto" w:fill="FFFFFF"/>
        </w:rPr>
        <w:t>emmissa lausunnoissaan todennut</w:t>
      </w:r>
      <w:r w:rsidRPr="008A579E">
        <w:rPr>
          <w:rStyle w:val="Voimakas"/>
          <w:rFonts w:asciiTheme="minorHAnsi" w:hAnsiTheme="minorHAnsi"/>
          <w:b w:val="0"/>
          <w:bCs w:val="0"/>
          <w:sz w:val="18"/>
          <w:szCs w:val="18"/>
          <w:shd w:val="clear" w:color="auto" w:fill="FFFFFF"/>
        </w:rPr>
        <w:t xml:space="preserve">, että </w:t>
      </w:r>
      <w:r w:rsidR="00910423">
        <w:rPr>
          <w:rStyle w:val="Voimakas"/>
          <w:rFonts w:asciiTheme="minorHAnsi" w:hAnsiTheme="minorHAnsi"/>
          <w:b w:val="0"/>
          <w:bCs w:val="0"/>
          <w:sz w:val="18"/>
          <w:szCs w:val="18"/>
          <w:shd w:val="clear" w:color="auto" w:fill="FFFFFF"/>
        </w:rPr>
        <w:t>tilanne, jossa merkittävä osa palvelutuotannosta tullaan yhtiöittämään, uhkaa</w:t>
      </w:r>
      <w:r w:rsidR="00EC7DA4">
        <w:rPr>
          <w:rStyle w:val="Voimakas"/>
          <w:rFonts w:asciiTheme="minorHAnsi" w:hAnsiTheme="minorHAnsi"/>
          <w:b w:val="0"/>
          <w:bCs w:val="0"/>
          <w:sz w:val="18"/>
          <w:szCs w:val="18"/>
          <w:shd w:val="clear" w:color="auto" w:fill="FFFFFF"/>
        </w:rPr>
        <w:t xml:space="preserve"> </w:t>
      </w:r>
      <w:r w:rsidRPr="008A579E">
        <w:rPr>
          <w:rStyle w:val="Voimakas"/>
          <w:rFonts w:asciiTheme="minorHAnsi" w:hAnsiTheme="minorHAnsi"/>
          <w:b w:val="0"/>
          <w:bCs w:val="0"/>
          <w:sz w:val="18"/>
          <w:szCs w:val="18"/>
          <w:shd w:val="clear" w:color="auto" w:fill="FFFFFF"/>
        </w:rPr>
        <w:t xml:space="preserve">johtaa tietojärjestelmien ja tukipalveluiden pirstaloitumiseen ja kustannustehottomaan toteutusrakenteeseen vastoin järjestelmien uudistamisen tavoitteita. </w:t>
      </w:r>
      <w:r w:rsidR="00910423">
        <w:rPr>
          <w:rStyle w:val="Voimakas"/>
          <w:rFonts w:asciiTheme="minorHAnsi" w:hAnsiTheme="minorHAnsi"/>
          <w:b w:val="0"/>
          <w:bCs w:val="0"/>
          <w:sz w:val="18"/>
          <w:szCs w:val="18"/>
          <w:shd w:val="clear" w:color="auto" w:fill="FFFFFF"/>
        </w:rPr>
        <w:t>Tukipalveluiden tuottamise</w:t>
      </w:r>
      <w:r w:rsidR="00760EF8">
        <w:rPr>
          <w:rStyle w:val="Voimakas"/>
          <w:rFonts w:asciiTheme="minorHAnsi" w:hAnsiTheme="minorHAnsi"/>
          <w:b w:val="0"/>
          <w:bCs w:val="0"/>
          <w:sz w:val="18"/>
          <w:szCs w:val="18"/>
          <w:shd w:val="clear" w:color="auto" w:fill="FFFFFF"/>
        </w:rPr>
        <w:t xml:space="preserve">en liittyy </w:t>
      </w:r>
      <w:r w:rsidR="00910423" w:rsidRPr="008A579E">
        <w:rPr>
          <w:rStyle w:val="Voimakas"/>
          <w:rFonts w:asciiTheme="minorHAnsi" w:hAnsiTheme="minorHAnsi"/>
          <w:b w:val="0"/>
          <w:bCs w:val="0"/>
          <w:sz w:val="18"/>
          <w:szCs w:val="18"/>
          <w:shd w:val="clear" w:color="auto" w:fill="FFFFFF"/>
        </w:rPr>
        <w:t xml:space="preserve">vaiheistuksesta huolimatta merkittäviä riskejä </w:t>
      </w:r>
      <w:r w:rsidR="00760EF8">
        <w:rPr>
          <w:rStyle w:val="Voimakas"/>
          <w:rFonts w:asciiTheme="minorHAnsi" w:hAnsiTheme="minorHAnsi"/>
          <w:b w:val="0"/>
          <w:bCs w:val="0"/>
          <w:sz w:val="18"/>
          <w:szCs w:val="18"/>
          <w:shd w:val="clear" w:color="auto" w:fill="FFFFFF"/>
        </w:rPr>
        <w:t>ja lisäkustannuksia</w:t>
      </w:r>
      <w:r w:rsidR="00910423">
        <w:rPr>
          <w:rStyle w:val="Voimakas"/>
          <w:rFonts w:asciiTheme="minorHAnsi" w:hAnsiTheme="minorHAnsi"/>
          <w:b w:val="0"/>
          <w:bCs w:val="0"/>
          <w:sz w:val="18"/>
          <w:szCs w:val="18"/>
          <w:shd w:val="clear" w:color="auto" w:fill="FFFFFF"/>
        </w:rPr>
        <w:t>, jos esitystä ei tarkenneta yhteisten tukipalveluiden mahdollistamiseksi myös osakeyhtiömuodossa toimiville maakunnan omille ja yksityisille palveluntuottajille</w:t>
      </w:r>
      <w:r w:rsidR="00760EF8">
        <w:rPr>
          <w:rStyle w:val="Voimakas"/>
          <w:rFonts w:asciiTheme="minorHAnsi" w:hAnsiTheme="minorHAnsi"/>
          <w:b w:val="0"/>
          <w:bCs w:val="0"/>
          <w:sz w:val="18"/>
          <w:szCs w:val="18"/>
          <w:shd w:val="clear" w:color="auto" w:fill="FFFFFF"/>
        </w:rPr>
        <w:t>.</w:t>
      </w:r>
    </w:p>
    <w:p w:rsidR="00D15AD1" w:rsidRDefault="00D15AD1" w:rsidP="00910423">
      <w:pPr>
        <w:pStyle w:val="Vaintekstin"/>
        <w:ind w:left="1304"/>
        <w:rPr>
          <w:rStyle w:val="Voimakas"/>
          <w:rFonts w:asciiTheme="minorHAnsi" w:hAnsiTheme="minorHAnsi"/>
          <w:b w:val="0"/>
          <w:bCs w:val="0"/>
          <w:sz w:val="18"/>
          <w:szCs w:val="18"/>
          <w:shd w:val="clear" w:color="auto" w:fill="FFFFFF"/>
        </w:rPr>
      </w:pPr>
    </w:p>
    <w:p w:rsidR="00D15AD1" w:rsidRDefault="00D15AD1" w:rsidP="00D15AD1">
      <w:pPr>
        <w:ind w:left="1304"/>
      </w:pPr>
      <w:r w:rsidRPr="008A579E">
        <w:t>Täysin uusien yhteiskäyttöisten rekisterien, kuten 7</w:t>
      </w:r>
      <w:r>
        <w:t>6</w:t>
      </w:r>
      <w:r w:rsidRPr="008A579E">
        <w:t xml:space="preserve"> § ehdotetun asiakassuunnitelmarekisterin, toteuttaminen annetun aikataulun puitteissa näyttää erittäin hankalalta ottaen huomioon kehittämistarpeet niin kansallisiin tiedonhallintapalveluihin kuin maakuntien sekä tuottajien ICT-järjestelmiin. </w:t>
      </w:r>
    </w:p>
    <w:p w:rsidR="00C658E4" w:rsidRDefault="00C658E4" w:rsidP="00D15AD1">
      <w:pPr>
        <w:ind w:left="1304"/>
      </w:pPr>
    </w:p>
    <w:p w:rsidR="00C658E4" w:rsidRDefault="00C658E4" w:rsidP="00C658E4">
      <w:pPr>
        <w:rPr>
          <w:b/>
        </w:rPr>
      </w:pPr>
      <w:r>
        <w:rPr>
          <w:b/>
        </w:rPr>
        <w:t>Kunnilla tulisi olla oikeus tuottaa valinnanvapauspalveluita</w:t>
      </w:r>
    </w:p>
    <w:p w:rsidR="00C658E4" w:rsidRDefault="00C658E4" w:rsidP="00C658E4">
      <w:pPr>
        <w:rPr>
          <w:b/>
        </w:rPr>
      </w:pPr>
    </w:p>
    <w:p w:rsidR="00C658E4" w:rsidRDefault="00C658E4" w:rsidP="00C658E4">
      <w:pPr>
        <w:ind w:left="1304"/>
      </w:pPr>
      <w:r w:rsidRPr="00C658E4">
        <w:t>Kuntaliitto on a</w:t>
      </w:r>
      <w:r>
        <w:t>ikai</w:t>
      </w:r>
      <w:r w:rsidRPr="00C658E4">
        <w:t>semmissa lausunnoissa</w:t>
      </w:r>
      <w:r>
        <w:t>an vaatinut, että myös kunnilla tulisi olla mahdollisuus esimerkiksi yhtiömuodossa tuottaa valinnanvapauden piiriin kuuluvia palveluita. Myös perustuslakivaliokunta on kesällä 2017 antamassaan lausunnossa PeVL 26/2017 vp todennut, että kunnille, kuntayhtymille ja niiden tytäryhteisöille ehdotetun kiellon tuottaa sosiaali- ja terveyspalveluita perusteltavuutta on arvioitava kunnallista itsehallintoa rajoittavana uudelleen. Hallitus ei ole vastineessaan katsonut perustelluksi avata valinnanvapauspalveluita kunnallisille toimijoille.</w:t>
      </w:r>
      <w:r w:rsidR="00C77468">
        <w:t xml:space="preserve"> Hallituksen vastineen mukaan kunnat voisivat omistaa valinnanvapauspalveluita tuottavan yhtiön osakkeita vain, jos ne o</w:t>
      </w:r>
      <w:r w:rsidR="002A4757">
        <w:t>vat</w:t>
      </w:r>
      <w:r w:rsidR="00C77468">
        <w:t xml:space="preserve"> luettavissa puhtaasti sijoitusvarallisuudeksi.</w:t>
      </w:r>
    </w:p>
    <w:p w:rsidR="00534A33" w:rsidRDefault="00534A33" w:rsidP="00C658E4">
      <w:pPr>
        <w:ind w:left="1304"/>
      </w:pPr>
    </w:p>
    <w:p w:rsidR="003E0013" w:rsidRDefault="00534A33" w:rsidP="00C658E4">
      <w:pPr>
        <w:ind w:left="1304"/>
      </w:pPr>
      <w:r>
        <w:t xml:space="preserve">Kuntaliitto ei pidä valtiovarainministeriön </w:t>
      </w:r>
      <w:r w:rsidR="003E0013">
        <w:t xml:space="preserve">kuntien palvelutuotannon </w:t>
      </w:r>
      <w:r>
        <w:t xml:space="preserve">kiellolle esittämiä perusteluita asianmukaisina. </w:t>
      </w:r>
    </w:p>
    <w:p w:rsidR="003E0013" w:rsidRDefault="003E0013" w:rsidP="00C658E4">
      <w:pPr>
        <w:ind w:left="1304"/>
      </w:pPr>
    </w:p>
    <w:p w:rsidR="00534A33" w:rsidRDefault="00534A33" w:rsidP="00C658E4">
      <w:pPr>
        <w:ind w:left="1304"/>
      </w:pPr>
      <w:r>
        <w:t xml:space="preserve">Perusteluina valtiovarainministeriö esittää, että olisi kunnan toimialasääntelyn vastaista </w:t>
      </w:r>
      <w:r w:rsidR="005E2DC6">
        <w:t xml:space="preserve">sallia kuntien </w:t>
      </w:r>
      <w:r>
        <w:t xml:space="preserve">tuottaa </w:t>
      </w:r>
      <w:r w:rsidR="000E252D">
        <w:t>sote -</w:t>
      </w:r>
      <w:r>
        <w:t>valinnanvapauspalveluita, koska kysymys olisi puhtaasta markkinatoiminnasta.</w:t>
      </w:r>
      <w:r w:rsidR="005E2DC6">
        <w:t xml:space="preserve"> </w:t>
      </w:r>
      <w:r w:rsidR="000E252D">
        <w:t>Kuntaliitto toteaa, että k</w:t>
      </w:r>
      <w:r w:rsidR="005E2DC6">
        <w:t>untien mahdollisuus tuottaa palveluita on täysin ratkaistavissa lainsäädännöllä.</w:t>
      </w:r>
      <w:r>
        <w:t xml:space="preserve"> </w:t>
      </w:r>
      <w:r w:rsidR="000E252D">
        <w:t>Valtiovarainministeriön p</w:t>
      </w:r>
      <w:r w:rsidR="005E2DC6">
        <w:t xml:space="preserve">erustelu on </w:t>
      </w:r>
      <w:r>
        <w:t>vaikeasti ymmärrettävissä siitäkin näkökulmasta, että EU</w:t>
      </w:r>
      <w:r w:rsidR="005E2DC6">
        <w:t>-notifiointia koskevassa keskustelussa hallitus pitää sote -valinnanvapauspalveluita ei- taloudellisena solidaarisuusperiaatteen mukaisena toimintana. Kuntien tuottamiskieltoa perustellaan vastineessa toisaalta sillä, että kunnan halutessa tuottaa palveluita, sen pitäisi investoida uudestaan palvelutuotannon edellyttämää infraan ja se kilpailisi osaavasta työvoimasta maakunnan ja valinnanvapauspalvelui</w:t>
      </w:r>
      <w:r w:rsidR="000E252D">
        <w:t>ta tuottavien yritysten</w:t>
      </w:r>
      <w:r w:rsidR="005E2DC6">
        <w:t xml:space="preserve"> kanssa. Kuntaliitto katsoo, että siirryttäessä hajautettuun markkinoilla tapahtuvaan palvelutuotantoon nykyisin palvelut tuottavia </w:t>
      </w:r>
      <w:r w:rsidR="000E252D">
        <w:t xml:space="preserve">sekä </w:t>
      </w:r>
      <w:r w:rsidR="00711D67">
        <w:t xml:space="preserve">palveluiden </w:t>
      </w:r>
      <w:r w:rsidR="000E252D">
        <w:t xml:space="preserve">edellyttämän infran ja henkilöstön omaavia </w:t>
      </w:r>
      <w:r w:rsidR="005E2DC6">
        <w:t xml:space="preserve">kuntia ja niiden omistamia yhtiöitä </w:t>
      </w:r>
      <w:r w:rsidR="000E252D">
        <w:t>ei ole peruste</w:t>
      </w:r>
      <w:r w:rsidR="00711D67">
        <w:t>ltua</w:t>
      </w:r>
      <w:r w:rsidR="005E2DC6">
        <w:t xml:space="preserve"> arvioida eri tavalla kuin maakunti</w:t>
      </w:r>
      <w:r w:rsidR="000E252D">
        <w:t>a</w:t>
      </w:r>
      <w:r w:rsidR="005E2DC6">
        <w:t>, niiden yhtiöitä ja yksityisi</w:t>
      </w:r>
      <w:r w:rsidR="000E252D">
        <w:t>ä</w:t>
      </w:r>
      <w:r w:rsidR="005E2DC6">
        <w:t xml:space="preserve"> </w:t>
      </w:r>
      <w:r w:rsidR="000E252D">
        <w:t>pal</w:t>
      </w:r>
      <w:r w:rsidR="005E2DC6">
        <w:t>veluyrityksiä.</w:t>
      </w:r>
    </w:p>
    <w:p w:rsidR="005E2DC6" w:rsidRDefault="005E2DC6" w:rsidP="00C658E4">
      <w:pPr>
        <w:ind w:left="1304"/>
      </w:pPr>
    </w:p>
    <w:p w:rsidR="00C77468" w:rsidRDefault="00C77468" w:rsidP="00C658E4">
      <w:pPr>
        <w:ind w:left="1304"/>
      </w:pPr>
    </w:p>
    <w:p w:rsidR="00EC7DA4" w:rsidRDefault="00EC7DA4" w:rsidP="008B3B47"/>
    <w:p w:rsidR="00497369" w:rsidRDefault="00497369" w:rsidP="008B3B47"/>
    <w:p w:rsidR="00497369" w:rsidRDefault="00497369" w:rsidP="008B3B47"/>
    <w:p w:rsidR="008B3B47" w:rsidRPr="0075121E" w:rsidRDefault="008B3B47" w:rsidP="008B3B47">
      <w:pPr>
        <w:rPr>
          <w:rFonts w:ascii="Verdana" w:eastAsia="Verdana" w:hAnsi="Verdana" w:cs="Verdana"/>
        </w:rPr>
      </w:pPr>
      <w:r w:rsidRPr="0075121E">
        <w:rPr>
          <w:rFonts w:ascii="Verdana" w:eastAsia="Verdana" w:hAnsi="Verdana" w:cs="Verdana"/>
        </w:rPr>
        <w:t xml:space="preserve">Liite 1 </w:t>
      </w:r>
    </w:p>
    <w:p w:rsidR="008B3B47" w:rsidRPr="0075121E" w:rsidRDefault="008B3B47" w:rsidP="008B3B47">
      <w:pPr>
        <w:rPr>
          <w:rFonts w:ascii="Verdana" w:eastAsia="Verdana" w:hAnsi="Verdana" w:cs="Verdana"/>
        </w:rPr>
      </w:pPr>
    </w:p>
    <w:p w:rsidR="008B3B47" w:rsidRPr="0075121E" w:rsidRDefault="008B3B47" w:rsidP="008B3B47">
      <w:pPr>
        <w:rPr>
          <w:rFonts w:ascii="Verdana" w:eastAsia="Verdana" w:hAnsi="Verdana" w:cs="Verdana"/>
        </w:rPr>
      </w:pPr>
      <w:r w:rsidRPr="0075121E">
        <w:rPr>
          <w:rFonts w:ascii="Verdana" w:eastAsia="Verdana" w:hAnsi="Verdana" w:cs="Verdana"/>
          <w:b/>
        </w:rPr>
        <w:t xml:space="preserve">Laskelma Kuntaliiton mallin raja-arvojen soveltamisesta </w:t>
      </w:r>
    </w:p>
    <w:p w:rsidR="008B3B47" w:rsidRPr="0075121E" w:rsidRDefault="008B3B47" w:rsidP="008B3B47">
      <w:pPr>
        <w:rPr>
          <w:rFonts w:ascii="Verdana" w:eastAsia="Verdana" w:hAnsi="Verdana" w:cs="Verdana"/>
        </w:rPr>
      </w:pPr>
    </w:p>
    <w:p w:rsidR="008B3B47" w:rsidRPr="0075121E" w:rsidRDefault="008B3B47" w:rsidP="008B3B47">
      <w:pPr>
        <w:rPr>
          <w:rFonts w:ascii="Verdana" w:eastAsia="Verdana" w:hAnsi="Verdana" w:cs="Verdana"/>
        </w:rPr>
      </w:pPr>
      <w:r w:rsidRPr="0075121E">
        <w:rPr>
          <w:rFonts w:ascii="Verdana" w:eastAsia="Verdana" w:hAnsi="Verdana" w:cs="Verdana"/>
        </w:rPr>
        <w:t>Kuntaliiton malli sisältää kaksi vaihtoehtoista raja-arvoa, jotka laukaisevat kompensaatiomenettelyn:</w:t>
      </w:r>
    </w:p>
    <w:p w:rsidR="008B3B47" w:rsidRPr="0075121E" w:rsidRDefault="008B3B47" w:rsidP="008B3B47">
      <w:pPr>
        <w:rPr>
          <w:rFonts w:ascii="Verdana" w:eastAsia="Verdana" w:hAnsi="Verdana" w:cs="Verdana"/>
        </w:rPr>
      </w:pPr>
    </w:p>
    <w:p w:rsidR="008B3B47" w:rsidRPr="0075121E" w:rsidRDefault="008B3B47" w:rsidP="008B3B47">
      <w:pPr>
        <w:ind w:left="1304"/>
        <w:rPr>
          <w:rFonts w:ascii="Verdana" w:eastAsia="Verdana" w:hAnsi="Verdana" w:cs="Verdana"/>
        </w:rPr>
      </w:pPr>
      <w:r w:rsidRPr="0075121E">
        <w:rPr>
          <w:rFonts w:ascii="Verdana" w:eastAsia="Verdana" w:hAnsi="Verdana" w:cs="Verdana"/>
        </w:rPr>
        <w:t>Vaihtoehto 1: Korvaus my</w:t>
      </w:r>
      <w:r w:rsidRPr="0075121E">
        <w:rPr>
          <w:rFonts w:ascii="Verdana" w:eastAsia="Verdana" w:hAnsi="Verdana" w:cs="Verdana"/>
        </w:rPr>
        <w:softHyphen/>
        <w:t xml:space="preserve">önnetään, jos kunnan taloudellinen menetys on vähintään kolme miljoonaa euroa. </w:t>
      </w:r>
    </w:p>
    <w:p w:rsidR="008B3B47" w:rsidRPr="0075121E" w:rsidRDefault="008B3B47" w:rsidP="008B3B47">
      <w:pPr>
        <w:ind w:left="1304"/>
        <w:rPr>
          <w:rFonts w:ascii="Verdana" w:eastAsia="Verdana" w:hAnsi="Verdana" w:cs="Verdana"/>
        </w:rPr>
      </w:pPr>
    </w:p>
    <w:p w:rsidR="008B3B47" w:rsidRPr="0075121E" w:rsidRDefault="008B3B47" w:rsidP="008B3B47">
      <w:pPr>
        <w:ind w:left="1304"/>
        <w:rPr>
          <w:rFonts w:ascii="Verdana" w:eastAsia="Verdana" w:hAnsi="Verdana" w:cs="Verdana"/>
        </w:rPr>
      </w:pPr>
      <w:r w:rsidRPr="0075121E">
        <w:rPr>
          <w:rFonts w:ascii="Verdana" w:eastAsia="Verdana" w:hAnsi="Verdana" w:cs="Verdana"/>
        </w:rPr>
        <w:t>Vaihtoehto 2: Korvaus myönnetään, jos kunnan menetys vastaa vähintään 0,25 prosenttiyksikön laskennallista korotustarvetta kunnan tuloveroprosenttiin.</w:t>
      </w:r>
    </w:p>
    <w:p w:rsidR="008B3B47" w:rsidRPr="0075121E" w:rsidRDefault="008B3B47" w:rsidP="008B3B47">
      <w:pPr>
        <w:rPr>
          <w:rFonts w:ascii="Verdana" w:eastAsia="Verdana" w:hAnsi="Verdana" w:cs="Verdana"/>
        </w:rPr>
      </w:pPr>
    </w:p>
    <w:p w:rsidR="008B3B47" w:rsidRPr="0075121E" w:rsidRDefault="008B3B47" w:rsidP="008B3B47">
      <w:pPr>
        <w:rPr>
          <w:rFonts w:ascii="Verdana" w:eastAsia="Verdana" w:hAnsi="Verdana" w:cs="Verdana"/>
        </w:rPr>
      </w:pPr>
      <w:r w:rsidRPr="0075121E">
        <w:rPr>
          <w:rFonts w:ascii="Verdana" w:eastAsia="Verdana" w:hAnsi="Verdana" w:cs="Verdana"/>
        </w:rPr>
        <w:t xml:space="preserve">Alla on lueteltu kunnat, joissa kompensaatiomenettelyn laukaiseva raja-arvo on matalin ja kunnat, joissa se on korkein. Laskelma on tehty myös hallituksen esittämän 1,00 prosenttiyksikön raja-arvon osalta. </w:t>
      </w:r>
      <w:r>
        <w:rPr>
          <w:rFonts w:ascii="Verdana" w:eastAsia="Verdana" w:hAnsi="Verdana" w:cs="Verdana"/>
        </w:rPr>
        <w:t>M</w:t>
      </w:r>
      <w:r w:rsidRPr="0075121E">
        <w:rPr>
          <w:rFonts w:ascii="Verdana" w:eastAsia="Verdana" w:hAnsi="Verdana" w:cs="Verdana"/>
        </w:rPr>
        <w:t>aksuunpannun kunnallisveron määrä on arvioitu vuoden 2020 tasossa valtiovarainministeriön ennusteiden sekä Kuntaliiton veroennustekehikon p</w:t>
      </w:r>
      <w:r>
        <w:rPr>
          <w:rFonts w:ascii="Verdana" w:eastAsia="Verdana" w:hAnsi="Verdana" w:cs="Verdana"/>
        </w:rPr>
        <w:t xml:space="preserve">erusteella. </w:t>
      </w:r>
      <w:r w:rsidRPr="0075121E">
        <w:rPr>
          <w:rFonts w:ascii="Verdana" w:eastAsia="Verdana" w:hAnsi="Verdana" w:cs="Verdana"/>
        </w:rPr>
        <w:t xml:space="preserve">  </w:t>
      </w:r>
    </w:p>
    <w:p w:rsidR="008B3B47" w:rsidRPr="0075121E" w:rsidRDefault="008B3B47" w:rsidP="008B3B47">
      <w:pPr>
        <w:rPr>
          <w:rFonts w:ascii="Verdana" w:eastAsia="Verdana" w:hAnsi="Verdana" w:cs="Verdana"/>
        </w:rPr>
      </w:pPr>
    </w:p>
    <w:p w:rsidR="008B3B47" w:rsidRPr="0075121E" w:rsidRDefault="008B3B47" w:rsidP="008B3B47">
      <w:pPr>
        <w:rPr>
          <w:rFonts w:ascii="Verdana" w:eastAsia="Verdana" w:hAnsi="Verdana" w:cs="Verdana"/>
          <w:b/>
        </w:rPr>
      </w:pPr>
      <w:r w:rsidRPr="0075121E">
        <w:rPr>
          <w:rFonts w:ascii="Verdana" w:eastAsia="Verdana" w:hAnsi="Verdana" w:cs="Verdana"/>
          <w:b/>
        </w:rPr>
        <w:t xml:space="preserve">Pienimmät raja-arvot       Raja-arvo, €           Euroa/asukas </w:t>
      </w:r>
      <w:r w:rsidRPr="0075121E">
        <w:rPr>
          <w:rFonts w:ascii="Verdana" w:eastAsia="Verdana" w:hAnsi="Verdana" w:cs="Verdana"/>
          <w:b/>
        </w:rPr>
        <w:tab/>
        <w:t>Raja-arvo, €</w:t>
      </w:r>
      <w:r w:rsidRPr="0075121E">
        <w:rPr>
          <w:rFonts w:ascii="Verdana" w:eastAsia="Verdana" w:hAnsi="Verdana" w:cs="Verdana"/>
          <w:b/>
        </w:rPr>
        <w:tab/>
        <w:t xml:space="preserve">      Euroa/asukas</w:t>
      </w:r>
    </w:p>
    <w:p w:rsidR="008B3B47" w:rsidRPr="0075121E" w:rsidRDefault="008B3B47" w:rsidP="008B3B47">
      <w:pPr>
        <w:ind w:left="1304" w:firstLine="1304"/>
        <w:rPr>
          <w:rFonts w:ascii="Verdana" w:eastAsia="Verdana" w:hAnsi="Verdana" w:cs="Verdana"/>
        </w:rPr>
      </w:pPr>
      <w:r w:rsidRPr="0075121E">
        <w:rPr>
          <w:rFonts w:ascii="Verdana" w:eastAsia="Verdana" w:hAnsi="Verdana" w:cs="Verdana"/>
        </w:rPr>
        <w:t>(0,25 %-yks.)</w:t>
      </w:r>
      <w:r w:rsidRPr="0075121E">
        <w:rPr>
          <w:rFonts w:ascii="Verdana" w:eastAsia="Verdana" w:hAnsi="Verdana" w:cs="Verdana"/>
        </w:rPr>
        <w:tab/>
      </w:r>
      <w:r w:rsidRPr="0075121E">
        <w:rPr>
          <w:rFonts w:ascii="Verdana" w:eastAsia="Verdana" w:hAnsi="Verdana" w:cs="Verdana"/>
        </w:rPr>
        <w:tab/>
      </w:r>
      <w:r w:rsidRPr="0075121E">
        <w:rPr>
          <w:rFonts w:ascii="Verdana" w:eastAsia="Verdana" w:hAnsi="Verdana" w:cs="Verdana"/>
        </w:rPr>
        <w:tab/>
        <w:t>(1,00 %-yks)</w:t>
      </w:r>
    </w:p>
    <w:p w:rsidR="008B3B47" w:rsidRPr="0075121E" w:rsidRDefault="008B3B47" w:rsidP="008B3B47">
      <w:pPr>
        <w:rPr>
          <w:rFonts w:ascii="Verdana" w:eastAsia="Verdana" w:hAnsi="Verdana" w:cs="Verdana"/>
        </w:rPr>
      </w:pPr>
    </w:p>
    <w:p w:rsidR="008B3B47" w:rsidRPr="0075121E" w:rsidRDefault="008B3B47" w:rsidP="008B3B47">
      <w:pPr>
        <w:rPr>
          <w:rFonts w:ascii="Verdana" w:eastAsia="Verdana" w:hAnsi="Verdana" w:cs="Verdana"/>
        </w:rPr>
      </w:pPr>
      <w:r w:rsidRPr="0075121E">
        <w:rPr>
          <w:rFonts w:ascii="Verdana" w:eastAsia="Verdana" w:hAnsi="Verdana" w:cs="Verdana"/>
        </w:rPr>
        <w:t xml:space="preserve">Lestijärvi         </w:t>
      </w:r>
      <w:r w:rsidRPr="0075121E">
        <w:rPr>
          <w:rFonts w:ascii="Verdana" w:eastAsia="Verdana" w:hAnsi="Verdana" w:cs="Verdana"/>
        </w:rPr>
        <w:tab/>
        <w:t xml:space="preserve">      26 000</w:t>
      </w:r>
      <w:r w:rsidRPr="0075121E">
        <w:rPr>
          <w:rFonts w:ascii="Verdana" w:eastAsia="Verdana" w:hAnsi="Verdana" w:cs="Verdana"/>
        </w:rPr>
        <w:tab/>
      </w:r>
      <w:r w:rsidRPr="0075121E">
        <w:rPr>
          <w:rFonts w:ascii="Verdana" w:eastAsia="Verdana" w:hAnsi="Verdana" w:cs="Verdana"/>
        </w:rPr>
        <w:tab/>
        <w:t>32</w:t>
      </w:r>
      <w:r w:rsidRPr="0075121E">
        <w:rPr>
          <w:rFonts w:ascii="Verdana" w:eastAsia="Verdana" w:hAnsi="Verdana" w:cs="Verdana"/>
        </w:rPr>
        <w:tab/>
        <w:t>104 000                      128</w:t>
      </w:r>
    </w:p>
    <w:p w:rsidR="008B3B47" w:rsidRPr="0075121E" w:rsidRDefault="008B3B47" w:rsidP="008B3B47">
      <w:pPr>
        <w:rPr>
          <w:rFonts w:ascii="Verdana" w:eastAsia="Verdana" w:hAnsi="Verdana" w:cs="Verdana"/>
        </w:rPr>
      </w:pPr>
      <w:r w:rsidRPr="0075121E">
        <w:rPr>
          <w:rFonts w:ascii="Verdana" w:eastAsia="Verdana" w:hAnsi="Verdana" w:cs="Verdana"/>
        </w:rPr>
        <w:t xml:space="preserve">Luhanka            </w:t>
      </w:r>
      <w:r w:rsidRPr="0075121E">
        <w:rPr>
          <w:rFonts w:ascii="Verdana" w:eastAsia="Verdana" w:hAnsi="Verdana" w:cs="Verdana"/>
        </w:rPr>
        <w:tab/>
        <w:t xml:space="preserve">      26 000</w:t>
      </w:r>
      <w:r w:rsidRPr="0075121E">
        <w:rPr>
          <w:rFonts w:ascii="Verdana" w:eastAsia="Verdana" w:hAnsi="Verdana" w:cs="Verdana"/>
        </w:rPr>
        <w:tab/>
      </w:r>
      <w:r w:rsidRPr="0075121E">
        <w:rPr>
          <w:rFonts w:ascii="Verdana" w:eastAsia="Verdana" w:hAnsi="Verdana" w:cs="Verdana"/>
        </w:rPr>
        <w:tab/>
        <w:t>34</w:t>
      </w:r>
      <w:r w:rsidRPr="0075121E">
        <w:rPr>
          <w:rFonts w:ascii="Verdana" w:eastAsia="Verdana" w:hAnsi="Verdana" w:cs="Verdana"/>
        </w:rPr>
        <w:tab/>
        <w:t>104 000                      136</w:t>
      </w:r>
    </w:p>
    <w:p w:rsidR="008B3B47" w:rsidRPr="0075121E" w:rsidRDefault="008B3B47" w:rsidP="008B3B47">
      <w:pPr>
        <w:rPr>
          <w:rFonts w:ascii="Verdana" w:eastAsia="Verdana" w:hAnsi="Verdana" w:cs="Verdana"/>
        </w:rPr>
      </w:pPr>
      <w:r w:rsidRPr="0075121E">
        <w:rPr>
          <w:rFonts w:ascii="Verdana" w:eastAsia="Verdana" w:hAnsi="Verdana" w:cs="Verdana"/>
        </w:rPr>
        <w:t xml:space="preserve">Merijärvi          </w:t>
      </w:r>
      <w:r w:rsidRPr="0075121E">
        <w:rPr>
          <w:rFonts w:ascii="Verdana" w:eastAsia="Verdana" w:hAnsi="Verdana" w:cs="Verdana"/>
        </w:rPr>
        <w:tab/>
        <w:t xml:space="preserve">      31 000</w:t>
      </w:r>
      <w:r w:rsidRPr="0075121E">
        <w:rPr>
          <w:rFonts w:ascii="Verdana" w:eastAsia="Verdana" w:hAnsi="Verdana" w:cs="Verdana"/>
        </w:rPr>
        <w:tab/>
      </w:r>
      <w:r w:rsidRPr="0075121E">
        <w:rPr>
          <w:rFonts w:ascii="Verdana" w:eastAsia="Verdana" w:hAnsi="Verdana" w:cs="Verdana"/>
        </w:rPr>
        <w:tab/>
        <w:t xml:space="preserve">27 </w:t>
      </w:r>
      <w:r w:rsidRPr="0075121E">
        <w:rPr>
          <w:rFonts w:ascii="Verdana" w:eastAsia="Verdana" w:hAnsi="Verdana" w:cs="Verdana"/>
        </w:rPr>
        <w:tab/>
        <w:t>124 000                      108</w:t>
      </w:r>
    </w:p>
    <w:p w:rsidR="008B3B47" w:rsidRPr="0075121E" w:rsidRDefault="008B3B47" w:rsidP="008B3B47">
      <w:pPr>
        <w:rPr>
          <w:rFonts w:ascii="Verdana" w:eastAsia="Verdana" w:hAnsi="Verdana" w:cs="Verdana"/>
        </w:rPr>
      </w:pPr>
      <w:r w:rsidRPr="0075121E">
        <w:rPr>
          <w:rFonts w:ascii="Verdana" w:eastAsia="Verdana" w:hAnsi="Verdana" w:cs="Verdana"/>
        </w:rPr>
        <w:t xml:space="preserve">Kivijärvi          </w:t>
      </w:r>
      <w:r w:rsidRPr="0075121E">
        <w:rPr>
          <w:rFonts w:ascii="Verdana" w:eastAsia="Verdana" w:hAnsi="Verdana" w:cs="Verdana"/>
        </w:rPr>
        <w:tab/>
        <w:t xml:space="preserve">      35 000</w:t>
      </w:r>
      <w:r w:rsidRPr="0075121E">
        <w:rPr>
          <w:rFonts w:ascii="Verdana" w:eastAsia="Verdana" w:hAnsi="Verdana" w:cs="Verdana"/>
        </w:rPr>
        <w:tab/>
      </w:r>
      <w:r w:rsidRPr="0075121E">
        <w:rPr>
          <w:rFonts w:ascii="Verdana" w:eastAsia="Verdana" w:hAnsi="Verdana" w:cs="Verdana"/>
        </w:rPr>
        <w:tab/>
        <w:t>30</w:t>
      </w:r>
      <w:r w:rsidRPr="0075121E">
        <w:rPr>
          <w:rFonts w:ascii="Verdana" w:eastAsia="Verdana" w:hAnsi="Verdana" w:cs="Verdana"/>
        </w:rPr>
        <w:tab/>
        <w:t>140 000                      120</w:t>
      </w:r>
    </w:p>
    <w:p w:rsidR="008B3B47" w:rsidRPr="0075121E" w:rsidRDefault="008B3B47" w:rsidP="008B3B47">
      <w:pPr>
        <w:rPr>
          <w:rFonts w:ascii="Verdana" w:eastAsia="Verdana" w:hAnsi="Verdana" w:cs="Verdana"/>
        </w:rPr>
      </w:pPr>
      <w:r w:rsidRPr="0075121E">
        <w:rPr>
          <w:rFonts w:ascii="Verdana" w:eastAsia="Verdana" w:hAnsi="Verdana" w:cs="Verdana"/>
        </w:rPr>
        <w:t xml:space="preserve">Savukoski          </w:t>
      </w:r>
      <w:r w:rsidRPr="0075121E">
        <w:rPr>
          <w:rFonts w:ascii="Verdana" w:eastAsia="Verdana" w:hAnsi="Verdana" w:cs="Verdana"/>
        </w:rPr>
        <w:tab/>
        <w:t xml:space="preserve">      37 000</w:t>
      </w:r>
      <w:r w:rsidRPr="0075121E">
        <w:rPr>
          <w:rFonts w:ascii="Verdana" w:eastAsia="Verdana" w:hAnsi="Verdana" w:cs="Verdana"/>
        </w:rPr>
        <w:tab/>
      </w:r>
      <w:r w:rsidRPr="0075121E">
        <w:rPr>
          <w:rFonts w:ascii="Verdana" w:eastAsia="Verdana" w:hAnsi="Verdana" w:cs="Verdana"/>
        </w:rPr>
        <w:tab/>
        <w:t>35</w:t>
      </w:r>
      <w:r w:rsidRPr="0075121E">
        <w:rPr>
          <w:rFonts w:ascii="Verdana" w:eastAsia="Verdana" w:hAnsi="Verdana" w:cs="Verdana"/>
        </w:rPr>
        <w:tab/>
        <w:t>148 000                      140</w:t>
      </w:r>
    </w:p>
    <w:p w:rsidR="008B3B47" w:rsidRPr="0075121E" w:rsidRDefault="008B3B47" w:rsidP="008B3B47">
      <w:pPr>
        <w:rPr>
          <w:rFonts w:ascii="Verdana" w:eastAsia="Verdana" w:hAnsi="Verdana" w:cs="Verdana"/>
        </w:rPr>
      </w:pPr>
      <w:r w:rsidRPr="0075121E">
        <w:rPr>
          <w:rFonts w:ascii="Verdana" w:eastAsia="Verdana" w:hAnsi="Verdana" w:cs="Verdana"/>
        </w:rPr>
        <w:t xml:space="preserve">Halsua             </w:t>
      </w:r>
      <w:r w:rsidRPr="0075121E">
        <w:rPr>
          <w:rFonts w:ascii="Verdana" w:eastAsia="Verdana" w:hAnsi="Verdana" w:cs="Verdana"/>
        </w:rPr>
        <w:tab/>
        <w:t xml:space="preserve">      38 000</w:t>
      </w:r>
      <w:r w:rsidRPr="0075121E">
        <w:rPr>
          <w:rFonts w:ascii="Verdana" w:eastAsia="Verdana" w:hAnsi="Verdana" w:cs="Verdana"/>
        </w:rPr>
        <w:tab/>
      </w:r>
      <w:r w:rsidRPr="0075121E">
        <w:rPr>
          <w:rFonts w:ascii="Verdana" w:eastAsia="Verdana" w:hAnsi="Verdana" w:cs="Verdana"/>
        </w:rPr>
        <w:tab/>
        <w:t>31</w:t>
      </w:r>
      <w:r w:rsidRPr="0075121E">
        <w:rPr>
          <w:rFonts w:ascii="Verdana" w:eastAsia="Verdana" w:hAnsi="Verdana" w:cs="Verdana"/>
        </w:rPr>
        <w:tab/>
        <w:t>152 000                      124</w:t>
      </w:r>
    </w:p>
    <w:p w:rsidR="008B3B47" w:rsidRPr="0075121E" w:rsidRDefault="008B3B47" w:rsidP="008B3B47">
      <w:pPr>
        <w:rPr>
          <w:rFonts w:ascii="Verdana" w:eastAsia="Verdana" w:hAnsi="Verdana" w:cs="Verdana"/>
        </w:rPr>
      </w:pPr>
      <w:r w:rsidRPr="0075121E">
        <w:rPr>
          <w:rFonts w:ascii="Verdana" w:eastAsia="Verdana" w:hAnsi="Verdana" w:cs="Verdana"/>
        </w:rPr>
        <w:t xml:space="preserve">Pelkosenniemi      </w:t>
      </w:r>
      <w:r w:rsidRPr="0075121E">
        <w:rPr>
          <w:rFonts w:ascii="Verdana" w:eastAsia="Verdana" w:hAnsi="Verdana" w:cs="Verdana"/>
        </w:rPr>
        <w:tab/>
        <w:t xml:space="preserve">      38 000</w:t>
      </w:r>
      <w:r w:rsidRPr="0075121E">
        <w:rPr>
          <w:rFonts w:ascii="Verdana" w:eastAsia="Verdana" w:hAnsi="Verdana" w:cs="Verdana"/>
        </w:rPr>
        <w:tab/>
      </w:r>
      <w:r w:rsidRPr="0075121E">
        <w:rPr>
          <w:rFonts w:ascii="Verdana" w:eastAsia="Verdana" w:hAnsi="Verdana" w:cs="Verdana"/>
        </w:rPr>
        <w:tab/>
        <w:t>40</w:t>
      </w:r>
      <w:r w:rsidRPr="0075121E">
        <w:rPr>
          <w:rFonts w:ascii="Verdana" w:eastAsia="Verdana" w:hAnsi="Verdana" w:cs="Verdana"/>
        </w:rPr>
        <w:tab/>
        <w:t>152 000                      160</w:t>
      </w:r>
    </w:p>
    <w:p w:rsidR="008B3B47" w:rsidRPr="0075121E" w:rsidRDefault="008B3B47" w:rsidP="008B3B47">
      <w:pPr>
        <w:rPr>
          <w:rFonts w:ascii="Verdana" w:eastAsia="Verdana" w:hAnsi="Verdana" w:cs="Verdana"/>
        </w:rPr>
      </w:pPr>
      <w:r w:rsidRPr="0075121E">
        <w:rPr>
          <w:rFonts w:ascii="Verdana" w:eastAsia="Verdana" w:hAnsi="Verdana" w:cs="Verdana"/>
        </w:rPr>
        <w:t xml:space="preserve">Kustavi            </w:t>
      </w:r>
      <w:r w:rsidRPr="0075121E">
        <w:rPr>
          <w:rFonts w:ascii="Verdana" w:eastAsia="Verdana" w:hAnsi="Verdana" w:cs="Verdana"/>
        </w:rPr>
        <w:tab/>
        <w:t xml:space="preserve">      39 000</w:t>
      </w:r>
      <w:r w:rsidRPr="0075121E">
        <w:rPr>
          <w:rFonts w:ascii="Verdana" w:eastAsia="Verdana" w:hAnsi="Verdana" w:cs="Verdana"/>
        </w:rPr>
        <w:tab/>
      </w:r>
      <w:r w:rsidRPr="0075121E">
        <w:rPr>
          <w:rFonts w:ascii="Verdana" w:eastAsia="Verdana" w:hAnsi="Verdana" w:cs="Verdana"/>
        </w:rPr>
        <w:tab/>
        <w:t>43</w:t>
      </w:r>
      <w:r w:rsidRPr="0075121E">
        <w:rPr>
          <w:rFonts w:ascii="Verdana" w:eastAsia="Verdana" w:hAnsi="Verdana" w:cs="Verdana"/>
        </w:rPr>
        <w:tab/>
        <w:t>156 000                      172</w:t>
      </w:r>
    </w:p>
    <w:p w:rsidR="008B3B47" w:rsidRPr="0075121E" w:rsidRDefault="008B3B47" w:rsidP="008B3B47">
      <w:pPr>
        <w:rPr>
          <w:rFonts w:ascii="Verdana" w:eastAsia="Verdana" w:hAnsi="Verdana" w:cs="Verdana"/>
        </w:rPr>
      </w:pPr>
      <w:r w:rsidRPr="0075121E">
        <w:rPr>
          <w:rFonts w:ascii="Verdana" w:eastAsia="Verdana" w:hAnsi="Verdana" w:cs="Verdana"/>
        </w:rPr>
        <w:t xml:space="preserve">Kannonkoski        </w:t>
      </w:r>
      <w:r w:rsidRPr="0075121E">
        <w:rPr>
          <w:rFonts w:ascii="Verdana" w:eastAsia="Verdana" w:hAnsi="Verdana" w:cs="Verdana"/>
        </w:rPr>
        <w:tab/>
        <w:t xml:space="preserve">      44 000</w:t>
      </w:r>
      <w:r w:rsidRPr="0075121E">
        <w:rPr>
          <w:rFonts w:ascii="Verdana" w:eastAsia="Verdana" w:hAnsi="Verdana" w:cs="Verdana"/>
        </w:rPr>
        <w:tab/>
      </w:r>
      <w:r w:rsidRPr="0075121E">
        <w:rPr>
          <w:rFonts w:ascii="Verdana" w:eastAsia="Verdana" w:hAnsi="Verdana" w:cs="Verdana"/>
        </w:rPr>
        <w:tab/>
        <w:t>31</w:t>
      </w:r>
      <w:r w:rsidRPr="0075121E">
        <w:rPr>
          <w:rFonts w:ascii="Verdana" w:eastAsia="Verdana" w:hAnsi="Verdana" w:cs="Verdana"/>
        </w:rPr>
        <w:tab/>
        <w:t>176 000                      124</w:t>
      </w:r>
    </w:p>
    <w:p w:rsidR="008B3B47" w:rsidRPr="0075121E" w:rsidRDefault="008B3B47" w:rsidP="008B3B47">
      <w:pPr>
        <w:rPr>
          <w:rFonts w:ascii="Verdana" w:eastAsia="Verdana" w:hAnsi="Verdana" w:cs="Verdana"/>
        </w:rPr>
      </w:pPr>
      <w:r w:rsidRPr="0075121E">
        <w:rPr>
          <w:rFonts w:ascii="Verdana" w:eastAsia="Verdana" w:hAnsi="Verdana" w:cs="Verdana"/>
        </w:rPr>
        <w:t xml:space="preserve">Kyyjärvi           </w:t>
      </w:r>
      <w:r w:rsidRPr="0075121E">
        <w:rPr>
          <w:rFonts w:ascii="Verdana" w:eastAsia="Verdana" w:hAnsi="Verdana" w:cs="Verdana"/>
        </w:rPr>
        <w:tab/>
        <w:t xml:space="preserve">      44 000</w:t>
      </w:r>
      <w:r w:rsidRPr="0075121E">
        <w:rPr>
          <w:rFonts w:ascii="Verdana" w:eastAsia="Verdana" w:hAnsi="Verdana" w:cs="Verdana"/>
        </w:rPr>
        <w:tab/>
      </w:r>
      <w:r w:rsidRPr="0075121E">
        <w:rPr>
          <w:rFonts w:ascii="Verdana" w:eastAsia="Verdana" w:hAnsi="Verdana" w:cs="Verdana"/>
        </w:rPr>
        <w:tab/>
        <w:t>32</w:t>
      </w:r>
      <w:r w:rsidRPr="0075121E">
        <w:rPr>
          <w:rFonts w:ascii="Verdana" w:eastAsia="Verdana" w:hAnsi="Verdana" w:cs="Verdana"/>
        </w:rPr>
        <w:tab/>
        <w:t>176 000                      128</w:t>
      </w:r>
    </w:p>
    <w:p w:rsidR="008B3B47" w:rsidRPr="0075121E" w:rsidRDefault="008B3B47" w:rsidP="008B3B47">
      <w:pPr>
        <w:rPr>
          <w:rFonts w:ascii="Verdana" w:eastAsia="Verdana" w:hAnsi="Verdana" w:cs="Verdana"/>
        </w:rPr>
      </w:pPr>
      <w:r w:rsidRPr="0075121E">
        <w:rPr>
          <w:rFonts w:ascii="Verdana" w:eastAsia="Verdana" w:hAnsi="Verdana" w:cs="Verdana"/>
        </w:rPr>
        <w:t xml:space="preserve">Hailuoto           </w:t>
      </w:r>
      <w:r w:rsidRPr="0075121E">
        <w:rPr>
          <w:rFonts w:ascii="Verdana" w:eastAsia="Verdana" w:hAnsi="Verdana" w:cs="Verdana"/>
        </w:rPr>
        <w:tab/>
        <w:t xml:space="preserve">      45 000</w:t>
      </w:r>
      <w:r w:rsidRPr="0075121E">
        <w:rPr>
          <w:rFonts w:ascii="Verdana" w:eastAsia="Verdana" w:hAnsi="Verdana" w:cs="Verdana"/>
        </w:rPr>
        <w:tab/>
      </w:r>
      <w:r w:rsidRPr="0075121E">
        <w:rPr>
          <w:rFonts w:ascii="Verdana" w:eastAsia="Verdana" w:hAnsi="Verdana" w:cs="Verdana"/>
        </w:rPr>
        <w:tab/>
        <w:t>45</w:t>
      </w:r>
      <w:r w:rsidRPr="0075121E">
        <w:rPr>
          <w:rFonts w:ascii="Verdana" w:eastAsia="Verdana" w:hAnsi="Verdana" w:cs="Verdana"/>
        </w:rPr>
        <w:tab/>
        <w:t>180 000                      180</w:t>
      </w:r>
    </w:p>
    <w:p w:rsidR="008B3B47" w:rsidRPr="0075121E" w:rsidRDefault="008B3B47" w:rsidP="008B3B47">
      <w:pPr>
        <w:rPr>
          <w:rFonts w:ascii="Verdana" w:eastAsia="Verdana" w:hAnsi="Verdana" w:cs="Verdana"/>
        </w:rPr>
      </w:pPr>
      <w:r w:rsidRPr="0075121E">
        <w:rPr>
          <w:rFonts w:ascii="Verdana" w:eastAsia="Verdana" w:hAnsi="Verdana" w:cs="Verdana"/>
        </w:rPr>
        <w:t xml:space="preserve">Siikainen          </w:t>
      </w:r>
      <w:r w:rsidRPr="0075121E">
        <w:rPr>
          <w:rFonts w:ascii="Verdana" w:eastAsia="Verdana" w:hAnsi="Verdana" w:cs="Verdana"/>
        </w:rPr>
        <w:tab/>
        <w:t xml:space="preserve">      45 000</w:t>
      </w:r>
      <w:r w:rsidRPr="0075121E">
        <w:rPr>
          <w:rFonts w:ascii="Verdana" w:eastAsia="Verdana" w:hAnsi="Verdana" w:cs="Verdana"/>
        </w:rPr>
        <w:tab/>
      </w:r>
      <w:r w:rsidRPr="0075121E">
        <w:rPr>
          <w:rFonts w:ascii="Verdana" w:eastAsia="Verdana" w:hAnsi="Verdana" w:cs="Verdana"/>
        </w:rPr>
        <w:tab/>
        <w:t>30</w:t>
      </w:r>
      <w:r w:rsidRPr="0075121E">
        <w:rPr>
          <w:rFonts w:ascii="Verdana" w:eastAsia="Verdana" w:hAnsi="Verdana" w:cs="Verdana"/>
        </w:rPr>
        <w:tab/>
        <w:t>180 000                      120</w:t>
      </w:r>
    </w:p>
    <w:p w:rsidR="008B3B47" w:rsidRPr="0075121E" w:rsidRDefault="008B3B47" w:rsidP="008B3B47">
      <w:pPr>
        <w:rPr>
          <w:rFonts w:ascii="Verdana" w:eastAsia="Verdana" w:hAnsi="Verdana" w:cs="Verdana"/>
        </w:rPr>
      </w:pPr>
      <w:r w:rsidRPr="0075121E">
        <w:rPr>
          <w:rFonts w:ascii="Verdana" w:eastAsia="Verdana" w:hAnsi="Verdana" w:cs="Verdana"/>
        </w:rPr>
        <w:t xml:space="preserve">Karijoki           </w:t>
      </w:r>
      <w:r w:rsidRPr="0075121E">
        <w:rPr>
          <w:rFonts w:ascii="Verdana" w:eastAsia="Verdana" w:hAnsi="Verdana" w:cs="Verdana"/>
        </w:rPr>
        <w:tab/>
        <w:t xml:space="preserve">      47 000</w:t>
      </w:r>
      <w:r w:rsidRPr="0075121E">
        <w:rPr>
          <w:rFonts w:ascii="Verdana" w:eastAsia="Verdana" w:hAnsi="Verdana" w:cs="Verdana"/>
        </w:rPr>
        <w:tab/>
      </w:r>
      <w:r w:rsidRPr="0075121E">
        <w:rPr>
          <w:rFonts w:ascii="Verdana" w:eastAsia="Verdana" w:hAnsi="Verdana" w:cs="Verdana"/>
        </w:rPr>
        <w:tab/>
        <w:t>35</w:t>
      </w:r>
      <w:r w:rsidRPr="0075121E">
        <w:rPr>
          <w:rFonts w:ascii="Verdana" w:eastAsia="Verdana" w:hAnsi="Verdana" w:cs="Verdana"/>
        </w:rPr>
        <w:tab/>
        <w:t>188 000                      140</w:t>
      </w:r>
    </w:p>
    <w:p w:rsidR="008B3B47" w:rsidRPr="0075121E" w:rsidRDefault="008B3B47" w:rsidP="008B3B47">
      <w:pPr>
        <w:rPr>
          <w:rFonts w:ascii="Verdana" w:eastAsia="Verdana" w:hAnsi="Verdana" w:cs="Verdana"/>
        </w:rPr>
      </w:pPr>
      <w:r w:rsidRPr="0075121E">
        <w:rPr>
          <w:rFonts w:ascii="Verdana" w:eastAsia="Verdana" w:hAnsi="Verdana" w:cs="Verdana"/>
        </w:rPr>
        <w:t xml:space="preserve">Ristijärvi         </w:t>
      </w:r>
      <w:r w:rsidRPr="0075121E">
        <w:rPr>
          <w:rFonts w:ascii="Verdana" w:eastAsia="Verdana" w:hAnsi="Verdana" w:cs="Verdana"/>
        </w:rPr>
        <w:tab/>
        <w:t xml:space="preserve">      48 000</w:t>
      </w:r>
      <w:r w:rsidRPr="0075121E">
        <w:rPr>
          <w:rFonts w:ascii="Verdana" w:eastAsia="Verdana" w:hAnsi="Verdana" w:cs="Verdana"/>
        </w:rPr>
        <w:tab/>
      </w:r>
      <w:r w:rsidRPr="0075121E">
        <w:rPr>
          <w:rFonts w:ascii="Verdana" w:eastAsia="Verdana" w:hAnsi="Verdana" w:cs="Verdana"/>
        </w:rPr>
        <w:tab/>
        <w:t>36</w:t>
      </w:r>
      <w:r w:rsidRPr="0075121E">
        <w:rPr>
          <w:rFonts w:ascii="Verdana" w:eastAsia="Verdana" w:hAnsi="Verdana" w:cs="Verdana"/>
        </w:rPr>
        <w:tab/>
        <w:t>192 000                      144</w:t>
      </w:r>
    </w:p>
    <w:p w:rsidR="008B3B47" w:rsidRPr="0075121E" w:rsidRDefault="008B3B47" w:rsidP="008B3B47">
      <w:pPr>
        <w:rPr>
          <w:rFonts w:ascii="Verdana" w:eastAsia="Verdana" w:hAnsi="Verdana" w:cs="Verdana"/>
        </w:rPr>
      </w:pPr>
      <w:r w:rsidRPr="0075121E">
        <w:rPr>
          <w:rFonts w:ascii="Verdana" w:eastAsia="Verdana" w:hAnsi="Verdana" w:cs="Verdana"/>
        </w:rPr>
        <w:t xml:space="preserve">Enonkoski          </w:t>
      </w:r>
      <w:r w:rsidRPr="0075121E">
        <w:rPr>
          <w:rFonts w:ascii="Verdana" w:eastAsia="Verdana" w:hAnsi="Verdana" w:cs="Verdana"/>
        </w:rPr>
        <w:tab/>
        <w:t xml:space="preserve">      49 000</w:t>
      </w:r>
      <w:r w:rsidRPr="0075121E">
        <w:rPr>
          <w:rFonts w:ascii="Verdana" w:eastAsia="Verdana" w:hAnsi="Verdana" w:cs="Verdana"/>
        </w:rPr>
        <w:tab/>
      </w:r>
      <w:r w:rsidRPr="0075121E">
        <w:rPr>
          <w:rFonts w:ascii="Verdana" w:eastAsia="Verdana" w:hAnsi="Verdana" w:cs="Verdana"/>
        </w:rPr>
        <w:tab/>
        <w:t>34</w:t>
      </w:r>
      <w:r w:rsidRPr="0075121E">
        <w:rPr>
          <w:rFonts w:ascii="Verdana" w:eastAsia="Verdana" w:hAnsi="Verdana" w:cs="Verdana"/>
        </w:rPr>
        <w:tab/>
        <w:t>196 000                      136</w:t>
      </w:r>
    </w:p>
    <w:p w:rsidR="008B3B47" w:rsidRPr="0075121E" w:rsidRDefault="008B3B47" w:rsidP="008B3B47">
      <w:pPr>
        <w:rPr>
          <w:rFonts w:ascii="Verdana" w:eastAsia="Verdana" w:hAnsi="Verdana" w:cs="Verdana"/>
        </w:rPr>
      </w:pPr>
      <w:r w:rsidRPr="0075121E">
        <w:rPr>
          <w:rFonts w:ascii="Verdana" w:eastAsia="Verdana" w:hAnsi="Verdana" w:cs="Verdana"/>
        </w:rPr>
        <w:t xml:space="preserve">Oripää             </w:t>
      </w:r>
      <w:r w:rsidRPr="0075121E">
        <w:rPr>
          <w:rFonts w:ascii="Verdana" w:eastAsia="Verdana" w:hAnsi="Verdana" w:cs="Verdana"/>
        </w:rPr>
        <w:tab/>
        <w:t xml:space="preserve">      51 000</w:t>
      </w:r>
      <w:r w:rsidRPr="0075121E">
        <w:rPr>
          <w:rFonts w:ascii="Verdana" w:eastAsia="Verdana" w:hAnsi="Verdana" w:cs="Verdana"/>
        </w:rPr>
        <w:tab/>
      </w:r>
      <w:r w:rsidRPr="0075121E">
        <w:rPr>
          <w:rFonts w:ascii="Verdana" w:eastAsia="Verdana" w:hAnsi="Verdana" w:cs="Verdana"/>
        </w:rPr>
        <w:tab/>
        <w:t>37</w:t>
      </w:r>
      <w:r w:rsidRPr="0075121E">
        <w:rPr>
          <w:rFonts w:ascii="Verdana" w:eastAsia="Verdana" w:hAnsi="Verdana" w:cs="Verdana"/>
        </w:rPr>
        <w:tab/>
        <w:t>204 000                      148</w:t>
      </w:r>
    </w:p>
    <w:p w:rsidR="008B3B47" w:rsidRPr="0075121E" w:rsidRDefault="008B3B47" w:rsidP="008B3B47">
      <w:pPr>
        <w:rPr>
          <w:rFonts w:ascii="Verdana" w:eastAsia="Verdana" w:hAnsi="Verdana" w:cs="Verdana"/>
        </w:rPr>
      </w:pPr>
      <w:r w:rsidRPr="0075121E">
        <w:rPr>
          <w:rFonts w:ascii="Verdana" w:eastAsia="Verdana" w:hAnsi="Verdana" w:cs="Verdana"/>
        </w:rPr>
        <w:t xml:space="preserve">Rautavaara         </w:t>
      </w:r>
      <w:r w:rsidRPr="0075121E">
        <w:rPr>
          <w:rFonts w:ascii="Verdana" w:eastAsia="Verdana" w:hAnsi="Verdana" w:cs="Verdana"/>
        </w:rPr>
        <w:tab/>
        <w:t xml:space="preserve">      51 000</w:t>
      </w:r>
      <w:r w:rsidRPr="0075121E">
        <w:rPr>
          <w:rFonts w:ascii="Verdana" w:eastAsia="Verdana" w:hAnsi="Verdana" w:cs="Verdana"/>
        </w:rPr>
        <w:tab/>
      </w:r>
      <w:r w:rsidRPr="0075121E">
        <w:rPr>
          <w:rFonts w:ascii="Verdana" w:eastAsia="Verdana" w:hAnsi="Verdana" w:cs="Verdana"/>
        </w:rPr>
        <w:tab/>
        <w:t>30</w:t>
      </w:r>
      <w:r w:rsidRPr="0075121E">
        <w:rPr>
          <w:rFonts w:ascii="Verdana" w:eastAsia="Verdana" w:hAnsi="Verdana" w:cs="Verdana"/>
        </w:rPr>
        <w:tab/>
        <w:t>204 000                      120</w:t>
      </w:r>
    </w:p>
    <w:p w:rsidR="008B3B47" w:rsidRPr="0075121E" w:rsidRDefault="008B3B47" w:rsidP="008B3B47">
      <w:pPr>
        <w:rPr>
          <w:rFonts w:ascii="Verdana" w:eastAsia="Verdana" w:hAnsi="Verdana" w:cs="Verdana"/>
        </w:rPr>
      </w:pPr>
      <w:r w:rsidRPr="0075121E">
        <w:rPr>
          <w:rFonts w:ascii="Verdana" w:eastAsia="Verdana" w:hAnsi="Verdana" w:cs="Verdana"/>
        </w:rPr>
        <w:t xml:space="preserve">Multia             </w:t>
      </w:r>
      <w:r w:rsidRPr="0075121E">
        <w:rPr>
          <w:rFonts w:ascii="Verdana" w:eastAsia="Verdana" w:hAnsi="Verdana" w:cs="Verdana"/>
        </w:rPr>
        <w:tab/>
        <w:t xml:space="preserve">      52 000</w:t>
      </w:r>
      <w:r w:rsidRPr="0075121E">
        <w:rPr>
          <w:rFonts w:ascii="Verdana" w:eastAsia="Verdana" w:hAnsi="Verdana" w:cs="Verdana"/>
        </w:rPr>
        <w:tab/>
      </w:r>
      <w:r w:rsidRPr="0075121E">
        <w:rPr>
          <w:rFonts w:ascii="Verdana" w:eastAsia="Verdana" w:hAnsi="Verdana" w:cs="Verdana"/>
        </w:rPr>
        <w:tab/>
        <w:t>31</w:t>
      </w:r>
      <w:r w:rsidRPr="0075121E">
        <w:rPr>
          <w:rFonts w:ascii="Verdana" w:eastAsia="Verdana" w:hAnsi="Verdana" w:cs="Verdana"/>
        </w:rPr>
        <w:tab/>
        <w:t>208 000                      124</w:t>
      </w:r>
    </w:p>
    <w:p w:rsidR="008B3B47" w:rsidRPr="0075121E" w:rsidRDefault="008B3B47" w:rsidP="008B3B47">
      <w:pPr>
        <w:rPr>
          <w:rFonts w:ascii="Verdana" w:eastAsia="Verdana" w:hAnsi="Verdana" w:cs="Verdana"/>
        </w:rPr>
      </w:pPr>
      <w:r w:rsidRPr="0075121E">
        <w:rPr>
          <w:rFonts w:ascii="Verdana" w:eastAsia="Verdana" w:hAnsi="Verdana" w:cs="Verdana"/>
        </w:rPr>
        <w:t xml:space="preserve">Tervo              </w:t>
      </w:r>
      <w:r w:rsidRPr="0075121E">
        <w:rPr>
          <w:rFonts w:ascii="Verdana" w:eastAsia="Verdana" w:hAnsi="Verdana" w:cs="Verdana"/>
        </w:rPr>
        <w:tab/>
        <w:t xml:space="preserve">      52 000</w:t>
      </w:r>
      <w:r w:rsidRPr="0075121E">
        <w:rPr>
          <w:rFonts w:ascii="Verdana" w:eastAsia="Verdana" w:hAnsi="Verdana" w:cs="Verdana"/>
        </w:rPr>
        <w:tab/>
      </w:r>
      <w:r w:rsidRPr="0075121E">
        <w:rPr>
          <w:rFonts w:ascii="Verdana" w:eastAsia="Verdana" w:hAnsi="Verdana" w:cs="Verdana"/>
        </w:rPr>
        <w:tab/>
        <w:t>32</w:t>
      </w:r>
      <w:r w:rsidRPr="0075121E">
        <w:rPr>
          <w:rFonts w:ascii="Verdana" w:eastAsia="Verdana" w:hAnsi="Verdana" w:cs="Verdana"/>
        </w:rPr>
        <w:tab/>
        <w:t>208 000                      128</w:t>
      </w:r>
    </w:p>
    <w:p w:rsidR="008B3B47" w:rsidRPr="0075121E" w:rsidRDefault="008B3B47" w:rsidP="008B3B47">
      <w:pPr>
        <w:rPr>
          <w:rFonts w:ascii="Verdana" w:eastAsia="Verdana" w:hAnsi="Verdana" w:cs="Verdana"/>
        </w:rPr>
      </w:pPr>
      <w:r w:rsidRPr="0075121E">
        <w:rPr>
          <w:rFonts w:ascii="Verdana" w:eastAsia="Verdana" w:hAnsi="Verdana" w:cs="Verdana"/>
        </w:rPr>
        <w:t xml:space="preserve">Kinnula            </w:t>
      </w:r>
      <w:r w:rsidRPr="0075121E">
        <w:rPr>
          <w:rFonts w:ascii="Verdana" w:eastAsia="Verdana" w:hAnsi="Verdana" w:cs="Verdana"/>
        </w:rPr>
        <w:tab/>
        <w:t xml:space="preserve">      54 000</w:t>
      </w:r>
      <w:r w:rsidRPr="0075121E">
        <w:rPr>
          <w:rFonts w:ascii="Verdana" w:eastAsia="Verdana" w:hAnsi="Verdana" w:cs="Verdana"/>
        </w:rPr>
        <w:tab/>
      </w:r>
      <w:r w:rsidRPr="0075121E">
        <w:rPr>
          <w:rFonts w:ascii="Verdana" w:eastAsia="Verdana" w:hAnsi="Verdana" w:cs="Verdana"/>
        </w:rPr>
        <w:tab/>
        <w:t>32</w:t>
      </w:r>
      <w:r w:rsidRPr="0075121E">
        <w:rPr>
          <w:rFonts w:ascii="Verdana" w:eastAsia="Verdana" w:hAnsi="Verdana" w:cs="Verdana"/>
        </w:rPr>
        <w:tab/>
        <w:t>216 000                      128</w:t>
      </w:r>
    </w:p>
    <w:p w:rsidR="008B3B47" w:rsidRPr="0075121E" w:rsidRDefault="008B3B47" w:rsidP="008B3B47">
      <w:pPr>
        <w:rPr>
          <w:rFonts w:ascii="Verdana" w:eastAsia="Verdana" w:hAnsi="Verdana" w:cs="Verdana"/>
        </w:rPr>
      </w:pPr>
    </w:p>
    <w:p w:rsidR="008B3B47" w:rsidRPr="0075121E" w:rsidRDefault="008B3B47" w:rsidP="008B3B47">
      <w:pPr>
        <w:rPr>
          <w:rFonts w:ascii="Verdana" w:eastAsia="Verdana" w:hAnsi="Verdana" w:cs="Verdana"/>
          <w:b/>
        </w:rPr>
      </w:pPr>
      <w:r w:rsidRPr="0075121E">
        <w:rPr>
          <w:rFonts w:ascii="Verdana" w:eastAsia="Verdana" w:hAnsi="Verdana" w:cs="Verdana"/>
          <w:b/>
        </w:rPr>
        <w:t>Suurimmat raja-arvot</w:t>
      </w:r>
      <w:r w:rsidRPr="0075121E">
        <w:rPr>
          <w:rFonts w:ascii="Verdana" w:eastAsia="Verdana" w:hAnsi="Verdana" w:cs="Verdana"/>
          <w:b/>
        </w:rPr>
        <w:tab/>
        <w:t xml:space="preserve">   Raja-arvo, €           Euroa/asukas </w:t>
      </w:r>
      <w:r w:rsidRPr="0075121E">
        <w:rPr>
          <w:rFonts w:ascii="Verdana" w:eastAsia="Verdana" w:hAnsi="Verdana" w:cs="Verdana"/>
          <w:b/>
        </w:rPr>
        <w:tab/>
        <w:t>Raja-arvo, €</w:t>
      </w:r>
      <w:r w:rsidRPr="0075121E">
        <w:rPr>
          <w:rFonts w:ascii="Verdana" w:eastAsia="Verdana" w:hAnsi="Verdana" w:cs="Verdana"/>
          <w:b/>
        </w:rPr>
        <w:tab/>
        <w:t xml:space="preserve">      Euroa/asukas</w:t>
      </w:r>
    </w:p>
    <w:p w:rsidR="008B3B47" w:rsidRPr="0075121E" w:rsidRDefault="008B3B47" w:rsidP="008B3B47">
      <w:pPr>
        <w:ind w:left="1304" w:firstLine="1304"/>
        <w:rPr>
          <w:rFonts w:ascii="Verdana" w:eastAsia="Verdana" w:hAnsi="Verdana" w:cs="Verdana"/>
        </w:rPr>
      </w:pPr>
      <w:r w:rsidRPr="0075121E">
        <w:rPr>
          <w:rFonts w:ascii="Verdana" w:eastAsia="Verdana" w:hAnsi="Verdana" w:cs="Verdana"/>
        </w:rPr>
        <w:t xml:space="preserve">   (0,25 %-yks.)</w:t>
      </w:r>
      <w:r w:rsidRPr="0075121E">
        <w:rPr>
          <w:rFonts w:ascii="Verdana" w:eastAsia="Verdana" w:hAnsi="Verdana" w:cs="Verdana"/>
        </w:rPr>
        <w:tab/>
      </w:r>
      <w:r w:rsidRPr="0075121E">
        <w:rPr>
          <w:rFonts w:ascii="Verdana" w:eastAsia="Verdana" w:hAnsi="Verdana" w:cs="Verdana"/>
        </w:rPr>
        <w:tab/>
        <w:t>(1,00 %-yks.)</w:t>
      </w:r>
      <w:r w:rsidRPr="0075121E">
        <w:rPr>
          <w:rFonts w:ascii="Verdana" w:eastAsia="Verdana" w:hAnsi="Verdana" w:cs="Verdana"/>
        </w:rPr>
        <w:tab/>
      </w:r>
    </w:p>
    <w:p w:rsidR="008B3B47" w:rsidRPr="0075121E" w:rsidRDefault="008B3B47" w:rsidP="008B3B47">
      <w:pPr>
        <w:ind w:left="1304" w:firstLine="1304"/>
        <w:rPr>
          <w:rFonts w:ascii="Verdana" w:eastAsia="Verdana" w:hAnsi="Verdana" w:cs="Verdana"/>
        </w:rPr>
      </w:pPr>
    </w:p>
    <w:p w:rsidR="008B3B47" w:rsidRPr="0075121E" w:rsidRDefault="008B3B47" w:rsidP="008B3B47">
      <w:pPr>
        <w:rPr>
          <w:rFonts w:ascii="Verdana" w:eastAsia="Verdana" w:hAnsi="Verdana" w:cs="Verdana"/>
        </w:rPr>
      </w:pPr>
      <w:r w:rsidRPr="0075121E">
        <w:rPr>
          <w:rFonts w:ascii="Verdana" w:eastAsia="Verdana" w:hAnsi="Verdana" w:cs="Verdana"/>
        </w:rPr>
        <w:t xml:space="preserve">Hyvinkää           </w:t>
      </w:r>
      <w:r w:rsidRPr="0075121E">
        <w:rPr>
          <w:rFonts w:ascii="Verdana" w:eastAsia="Verdana" w:hAnsi="Verdana" w:cs="Verdana"/>
        </w:rPr>
        <w:tab/>
        <w:t xml:space="preserve">    2 520 000</w:t>
      </w:r>
      <w:r w:rsidRPr="0075121E">
        <w:rPr>
          <w:rFonts w:ascii="Verdana" w:eastAsia="Verdana" w:hAnsi="Verdana" w:cs="Verdana"/>
        </w:rPr>
        <w:tab/>
      </w:r>
      <w:r w:rsidRPr="0075121E">
        <w:rPr>
          <w:rFonts w:ascii="Verdana" w:eastAsia="Verdana" w:hAnsi="Verdana" w:cs="Verdana"/>
        </w:rPr>
        <w:tab/>
        <w:t>54</w:t>
      </w:r>
      <w:r w:rsidRPr="0075121E">
        <w:rPr>
          <w:rFonts w:ascii="Verdana" w:eastAsia="Verdana" w:hAnsi="Verdana" w:cs="Verdana"/>
        </w:rPr>
        <w:tab/>
        <w:t>10 080 000</w:t>
      </w:r>
      <w:r w:rsidRPr="0075121E">
        <w:rPr>
          <w:rFonts w:ascii="Verdana" w:eastAsia="Verdana" w:hAnsi="Verdana" w:cs="Verdana"/>
        </w:rPr>
        <w:tab/>
        <w:t xml:space="preserve">              216</w:t>
      </w:r>
    </w:p>
    <w:p w:rsidR="008B3B47" w:rsidRPr="0075121E" w:rsidRDefault="008B3B47" w:rsidP="008B3B47">
      <w:pPr>
        <w:rPr>
          <w:rFonts w:ascii="Verdana" w:eastAsia="Verdana" w:hAnsi="Verdana" w:cs="Verdana"/>
        </w:rPr>
      </w:pPr>
      <w:r w:rsidRPr="0075121E">
        <w:rPr>
          <w:rFonts w:ascii="Verdana" w:eastAsia="Verdana" w:hAnsi="Verdana" w:cs="Verdana"/>
        </w:rPr>
        <w:t xml:space="preserve">Kotka              </w:t>
      </w:r>
      <w:r w:rsidRPr="0075121E">
        <w:rPr>
          <w:rFonts w:ascii="Verdana" w:eastAsia="Verdana" w:hAnsi="Verdana" w:cs="Verdana"/>
        </w:rPr>
        <w:tab/>
        <w:t xml:space="preserve">    2 522 000</w:t>
      </w:r>
      <w:r w:rsidRPr="0075121E">
        <w:rPr>
          <w:rFonts w:ascii="Verdana" w:eastAsia="Verdana" w:hAnsi="Verdana" w:cs="Verdana"/>
        </w:rPr>
        <w:tab/>
      </w:r>
      <w:r w:rsidRPr="0075121E">
        <w:rPr>
          <w:rFonts w:ascii="Verdana" w:eastAsia="Verdana" w:hAnsi="Verdana" w:cs="Verdana"/>
        </w:rPr>
        <w:tab/>
        <w:t>47</w:t>
      </w:r>
      <w:r w:rsidRPr="0075121E">
        <w:rPr>
          <w:rFonts w:ascii="Verdana" w:eastAsia="Verdana" w:hAnsi="Verdana" w:cs="Verdana"/>
        </w:rPr>
        <w:tab/>
        <w:t>10 088 000</w:t>
      </w:r>
      <w:r w:rsidRPr="0075121E">
        <w:rPr>
          <w:rFonts w:ascii="Verdana" w:eastAsia="Verdana" w:hAnsi="Verdana" w:cs="Verdana"/>
        </w:rPr>
        <w:tab/>
        <w:t xml:space="preserve">              188</w:t>
      </w:r>
    </w:p>
    <w:p w:rsidR="008B3B47" w:rsidRPr="0075121E" w:rsidRDefault="008B3B47" w:rsidP="008B3B47">
      <w:pPr>
        <w:rPr>
          <w:rFonts w:ascii="Verdana" w:eastAsia="Verdana" w:hAnsi="Verdana" w:cs="Verdana"/>
        </w:rPr>
      </w:pPr>
      <w:r w:rsidRPr="0075121E">
        <w:rPr>
          <w:rFonts w:ascii="Verdana" w:eastAsia="Verdana" w:hAnsi="Verdana" w:cs="Verdana"/>
        </w:rPr>
        <w:t xml:space="preserve">Porvoo             </w:t>
      </w:r>
      <w:r w:rsidRPr="0075121E">
        <w:rPr>
          <w:rFonts w:ascii="Verdana" w:eastAsia="Verdana" w:hAnsi="Verdana" w:cs="Verdana"/>
        </w:rPr>
        <w:tab/>
        <w:t xml:space="preserve">    2 795 000</w:t>
      </w:r>
      <w:r w:rsidRPr="0075121E">
        <w:rPr>
          <w:rFonts w:ascii="Verdana" w:eastAsia="Verdana" w:hAnsi="Verdana" w:cs="Verdana"/>
        </w:rPr>
        <w:tab/>
      </w:r>
      <w:r w:rsidRPr="0075121E">
        <w:rPr>
          <w:rFonts w:ascii="Verdana" w:eastAsia="Verdana" w:hAnsi="Verdana" w:cs="Verdana"/>
        </w:rPr>
        <w:tab/>
        <w:t>56</w:t>
      </w:r>
      <w:r w:rsidRPr="0075121E">
        <w:rPr>
          <w:rFonts w:ascii="Verdana" w:eastAsia="Verdana" w:hAnsi="Verdana" w:cs="Verdana"/>
        </w:rPr>
        <w:tab/>
        <w:t xml:space="preserve">11 180 000                  224 </w:t>
      </w:r>
    </w:p>
    <w:p w:rsidR="008B3B47" w:rsidRPr="0075121E" w:rsidRDefault="008B3B47" w:rsidP="008B3B47">
      <w:pPr>
        <w:rPr>
          <w:rFonts w:ascii="Verdana" w:eastAsia="Verdana" w:hAnsi="Verdana" w:cs="Verdana"/>
        </w:rPr>
      </w:pPr>
      <w:r w:rsidRPr="0075121E">
        <w:rPr>
          <w:rFonts w:ascii="Verdana" w:eastAsia="Verdana" w:hAnsi="Verdana" w:cs="Verdana"/>
        </w:rPr>
        <w:t xml:space="preserve">Rovaniemi          </w:t>
      </w:r>
      <w:r w:rsidRPr="0075121E">
        <w:rPr>
          <w:rFonts w:ascii="Verdana" w:eastAsia="Verdana" w:hAnsi="Verdana" w:cs="Verdana"/>
        </w:rPr>
        <w:tab/>
        <w:t xml:space="preserve">    2 866 000</w:t>
      </w:r>
      <w:r w:rsidRPr="0075121E">
        <w:rPr>
          <w:rFonts w:ascii="Verdana" w:eastAsia="Verdana" w:hAnsi="Verdana" w:cs="Verdana"/>
        </w:rPr>
        <w:tab/>
      </w:r>
      <w:r w:rsidRPr="0075121E">
        <w:rPr>
          <w:rFonts w:ascii="Verdana" w:eastAsia="Verdana" w:hAnsi="Verdana" w:cs="Verdana"/>
        </w:rPr>
        <w:tab/>
        <w:t xml:space="preserve">46 </w:t>
      </w:r>
      <w:r w:rsidRPr="0075121E">
        <w:rPr>
          <w:rFonts w:ascii="Verdana" w:eastAsia="Verdana" w:hAnsi="Verdana" w:cs="Verdana"/>
        </w:rPr>
        <w:tab/>
        <w:t>11 464 000</w:t>
      </w:r>
      <w:r w:rsidRPr="0075121E">
        <w:rPr>
          <w:rFonts w:ascii="Verdana" w:eastAsia="Verdana" w:hAnsi="Verdana" w:cs="Verdana"/>
        </w:rPr>
        <w:tab/>
        <w:t xml:space="preserve">              184</w:t>
      </w:r>
    </w:p>
    <w:p w:rsidR="008B3B47" w:rsidRPr="0075121E" w:rsidRDefault="008B3B47" w:rsidP="008B3B47">
      <w:pPr>
        <w:rPr>
          <w:rFonts w:ascii="Verdana" w:eastAsia="Verdana" w:hAnsi="Verdana" w:cs="Verdana"/>
        </w:rPr>
      </w:pPr>
      <w:r w:rsidRPr="0075121E">
        <w:rPr>
          <w:rFonts w:ascii="Verdana" w:eastAsia="Verdana" w:hAnsi="Verdana" w:cs="Verdana"/>
          <w:noProof/>
          <w:lang w:eastAsia="fi-FI"/>
        </w:rPr>
        <mc:AlternateContent>
          <mc:Choice Requires="wps">
            <w:drawing>
              <wp:anchor distT="0" distB="0" distL="114300" distR="114300" simplePos="0" relativeHeight="251659264" behindDoc="0" locked="0" layoutInCell="1" allowOverlap="1" wp14:anchorId="73ACF859" wp14:editId="4DC05E59">
                <wp:simplePos x="0" y="0"/>
                <wp:positionH relativeFrom="column">
                  <wp:posOffset>13557</wp:posOffset>
                </wp:positionH>
                <wp:positionV relativeFrom="paragraph">
                  <wp:posOffset>129466</wp:posOffset>
                </wp:positionV>
                <wp:extent cx="3944679" cy="19050"/>
                <wp:effectExtent l="0" t="0" r="36830" b="19050"/>
                <wp:wrapNone/>
                <wp:docPr id="1" name="Suora yhdysviiva 1"/>
                <wp:cNvGraphicFramePr/>
                <a:graphic xmlns:a="http://schemas.openxmlformats.org/drawingml/2006/main">
                  <a:graphicData uri="http://schemas.microsoft.com/office/word/2010/wordprocessingShape">
                    <wps:wsp>
                      <wps:cNvCnPr/>
                      <wps:spPr>
                        <a:xfrm flipV="1">
                          <a:off x="0" y="0"/>
                          <a:ext cx="3944679" cy="19050"/>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anchor>
            </w:drawing>
          </mc:Choice>
          <mc:Fallback>
            <w:pict>
              <v:line w14:anchorId="74506DE5" id="Suora yhdysviiva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0.2pt" to="311.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"/>
            </w:pict>
          </mc:Fallback>
        </mc:AlternateContent>
      </w:r>
      <w:r w:rsidRPr="0075121E">
        <w:rPr>
          <w:rFonts w:ascii="Verdana" w:eastAsia="Verdana" w:hAnsi="Verdana" w:cs="Verdana"/>
        </w:rPr>
        <w:t xml:space="preserve">Seinäjoki          </w:t>
      </w:r>
      <w:r w:rsidRPr="0075121E">
        <w:rPr>
          <w:rFonts w:ascii="Verdana" w:eastAsia="Verdana" w:hAnsi="Verdana" w:cs="Verdana"/>
        </w:rPr>
        <w:tab/>
        <w:t xml:space="preserve">    2 935 000</w:t>
      </w:r>
      <w:r w:rsidRPr="0075121E">
        <w:rPr>
          <w:rFonts w:ascii="Verdana" w:eastAsia="Verdana" w:hAnsi="Verdana" w:cs="Verdana"/>
        </w:rPr>
        <w:tab/>
      </w:r>
      <w:r w:rsidRPr="0075121E">
        <w:rPr>
          <w:rFonts w:ascii="Verdana" w:eastAsia="Verdana" w:hAnsi="Verdana" w:cs="Verdana"/>
        </w:rPr>
        <w:tab/>
        <w:t>47                 11 740 000</w:t>
      </w:r>
      <w:r w:rsidRPr="0075121E">
        <w:rPr>
          <w:rFonts w:ascii="Verdana" w:eastAsia="Verdana" w:hAnsi="Verdana" w:cs="Verdana"/>
        </w:rPr>
        <w:tab/>
        <w:t xml:space="preserve">              188</w:t>
      </w:r>
    </w:p>
    <w:p w:rsidR="008B3B47" w:rsidRPr="0075121E" w:rsidRDefault="008B3B47" w:rsidP="008B3B47">
      <w:pPr>
        <w:rPr>
          <w:rFonts w:ascii="Verdana" w:eastAsia="Verdana" w:hAnsi="Verdana" w:cs="Verdana"/>
          <w:b/>
        </w:rPr>
      </w:pPr>
      <w:r w:rsidRPr="0075121E">
        <w:rPr>
          <w:rFonts w:ascii="Verdana" w:eastAsia="Verdana" w:hAnsi="Verdana" w:cs="Verdana"/>
          <w:noProof/>
          <w:lang w:eastAsia="fi-FI"/>
        </w:rPr>
        <mc:AlternateContent>
          <mc:Choice Requires="wps">
            <w:drawing>
              <wp:anchor distT="0" distB="0" distL="114300" distR="114300" simplePos="0" relativeHeight="251661312" behindDoc="0" locked="0" layoutInCell="1" allowOverlap="1" wp14:anchorId="67F06B73" wp14:editId="0D5702EE">
                <wp:simplePos x="0" y="0"/>
                <wp:positionH relativeFrom="column">
                  <wp:posOffset>2522516</wp:posOffset>
                </wp:positionH>
                <wp:positionV relativeFrom="paragraph">
                  <wp:posOffset>8934</wp:posOffset>
                </wp:positionV>
                <wp:extent cx="701749" cy="329609"/>
                <wp:effectExtent l="0" t="0" r="3175" b="0"/>
                <wp:wrapNone/>
                <wp:docPr id="4" name="Tekstiruutu 4"/>
                <wp:cNvGraphicFramePr/>
                <a:graphic xmlns:a="http://schemas.openxmlformats.org/drawingml/2006/main">
                  <a:graphicData uri="http://schemas.microsoft.com/office/word/2010/wordprocessingShape">
                    <wps:wsp>
                      <wps:cNvSpPr txBox="1"/>
                      <wps:spPr>
                        <a:xfrm>
                          <a:off x="0" y="0"/>
                          <a:ext cx="701749" cy="329609"/>
                        </a:xfrm>
                        <a:prstGeom prst="rect">
                          <a:avLst/>
                        </a:prstGeom>
                        <a:solidFill>
                          <a:sysClr val="window" lastClr="FFFFFF"/>
                        </a:solidFill>
                        <a:ln w="6350">
                          <a:noFill/>
                        </a:ln>
                      </wps:spPr>
                      <wps:txbx>
                        <w:txbxContent>
                          <w:p w:rsidR="008B3B47" w:rsidRDefault="008B3B47" w:rsidP="008B3B47">
                            <w:r>
                              <w:t>3 milj.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06B73" id="_x0000_t202" coordsize="21600,21600" o:spt="202" path="m,l,21600r21600,l21600,xe">
                <v:stroke joinstyle="miter"/>
                <v:path gradientshapeok="t" o:connecttype="rect"/>
              </v:shapetype>
              <v:shape id="Tekstiruutu 4" o:spid="_x0000_s1026" type="#_x0000_t202" style="position:absolute;margin-left:198.6pt;margin-top:.7pt;width:55.2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" fillcolor="window" stroked="f" strokeweight=".5pt">
                <v:textbox>
                  <w:txbxContent>
                    <w:p w:rsidR="008B3B47" w:rsidRDefault="008B3B47" w:rsidP="008B3B47">
                      <w:r>
                        <w:t>3 milj. €</w:t>
                      </w:r>
                    </w:p>
                  </w:txbxContent>
                </v:textbox>
              </v:shape>
            </w:pict>
          </mc:Fallback>
        </mc:AlternateContent>
      </w:r>
      <w:r w:rsidRPr="0075121E">
        <w:rPr>
          <w:rFonts w:ascii="Verdana" w:eastAsia="Verdana" w:hAnsi="Verdana" w:cs="Verdana"/>
        </w:rPr>
        <w:t xml:space="preserve">Joensuu            </w:t>
      </w:r>
      <w:r w:rsidRPr="0075121E">
        <w:rPr>
          <w:rFonts w:ascii="Verdana" w:eastAsia="Verdana" w:hAnsi="Verdana" w:cs="Verdana"/>
        </w:rPr>
        <w:tab/>
        <w:t xml:space="preserve">    3 179 000</w:t>
      </w:r>
      <w:r w:rsidRPr="0075121E">
        <w:rPr>
          <w:rFonts w:ascii="Verdana" w:eastAsia="Verdana" w:hAnsi="Verdana" w:cs="Verdana"/>
        </w:rPr>
        <w:tab/>
      </w:r>
      <w:r w:rsidRPr="0075121E">
        <w:rPr>
          <w:rFonts w:ascii="Verdana" w:eastAsia="Verdana" w:hAnsi="Verdana" w:cs="Verdana"/>
        </w:rPr>
        <w:tab/>
        <w:t>42</w:t>
      </w:r>
      <w:r w:rsidRPr="0075121E">
        <w:rPr>
          <w:rFonts w:ascii="Verdana" w:eastAsia="Verdana" w:hAnsi="Verdana" w:cs="Verdana"/>
        </w:rPr>
        <w:tab/>
        <w:t xml:space="preserve">12 716 000                  168     </w:t>
      </w:r>
    </w:p>
    <w:p w:rsidR="008B3B47" w:rsidRPr="0075121E" w:rsidRDefault="008B3B47" w:rsidP="008B3B47">
      <w:pPr>
        <w:rPr>
          <w:rFonts w:ascii="Verdana" w:eastAsia="Verdana" w:hAnsi="Verdana" w:cs="Verdana"/>
        </w:rPr>
      </w:pPr>
      <w:r w:rsidRPr="0075121E">
        <w:rPr>
          <w:rFonts w:ascii="Verdana" w:eastAsia="Verdana" w:hAnsi="Verdana" w:cs="Verdana"/>
        </w:rPr>
        <w:t xml:space="preserve">Hämeenlinna        </w:t>
      </w:r>
      <w:r w:rsidRPr="0075121E">
        <w:rPr>
          <w:rFonts w:ascii="Verdana" w:eastAsia="Verdana" w:hAnsi="Verdana" w:cs="Verdana"/>
        </w:rPr>
        <w:tab/>
        <w:t xml:space="preserve">    3 325 000</w:t>
      </w:r>
      <w:r w:rsidRPr="0075121E">
        <w:rPr>
          <w:rFonts w:ascii="Verdana" w:eastAsia="Verdana" w:hAnsi="Verdana" w:cs="Verdana"/>
        </w:rPr>
        <w:tab/>
      </w:r>
      <w:r w:rsidRPr="0075121E">
        <w:rPr>
          <w:rFonts w:ascii="Verdana" w:eastAsia="Verdana" w:hAnsi="Verdana" w:cs="Verdana"/>
        </w:rPr>
        <w:tab/>
        <w:t>49</w:t>
      </w:r>
      <w:r w:rsidRPr="0075121E">
        <w:rPr>
          <w:rFonts w:ascii="Verdana" w:eastAsia="Verdana" w:hAnsi="Verdana" w:cs="Verdana"/>
        </w:rPr>
        <w:tab/>
        <w:t>13 300 000                  196</w:t>
      </w:r>
    </w:p>
    <w:p w:rsidR="008B3B47" w:rsidRPr="0075121E" w:rsidRDefault="008B3B47" w:rsidP="008B3B47">
      <w:pPr>
        <w:rPr>
          <w:rFonts w:ascii="Verdana" w:eastAsia="Verdana" w:hAnsi="Verdana" w:cs="Verdana"/>
        </w:rPr>
      </w:pPr>
      <w:r w:rsidRPr="0075121E">
        <w:rPr>
          <w:rFonts w:ascii="Verdana" w:eastAsia="Verdana" w:hAnsi="Verdana" w:cs="Verdana"/>
          <w:noProof/>
          <w:lang w:eastAsia="fi-FI"/>
        </w:rPr>
        <mc:AlternateContent>
          <mc:Choice Requires="wps">
            <w:drawing>
              <wp:anchor distT="0" distB="0" distL="114300" distR="114300" simplePos="0" relativeHeight="251660288" behindDoc="0" locked="0" layoutInCell="1" allowOverlap="1" wp14:anchorId="5E182A5E" wp14:editId="601E440B">
                <wp:simplePos x="0" y="0"/>
                <wp:positionH relativeFrom="column">
                  <wp:posOffset>2703225</wp:posOffset>
                </wp:positionH>
                <wp:positionV relativeFrom="paragraph">
                  <wp:posOffset>52484</wp:posOffset>
                </wp:positionV>
                <wp:extent cx="276447" cy="386877"/>
                <wp:effectExtent l="19050" t="0" r="28575" b="32385"/>
                <wp:wrapNone/>
                <wp:docPr id="2" name="Alanuoli 2"/>
                <wp:cNvGraphicFramePr/>
                <a:graphic xmlns:a="http://schemas.openxmlformats.org/drawingml/2006/main">
                  <a:graphicData uri="http://schemas.microsoft.com/office/word/2010/wordprocessingShape">
                    <wps:wsp>
                      <wps:cNvSpPr/>
                      <wps:spPr>
                        <a:xfrm>
                          <a:off x="0" y="0"/>
                          <a:ext cx="276447" cy="386877"/>
                        </a:xfrm>
                        <a:prstGeom prst="downArrow">
                          <a:avLst/>
                        </a:prstGeom>
                        <a:solidFill>
                          <a:srgbClr val="002E63"/>
                        </a:solidFill>
                        <a:ln w="25400" cap="flat" cmpd="sng" algn="ctr">
                          <a:solidFill>
                            <a:srgbClr val="002E63">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8E5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lanuoli 2" o:spid="_x0000_s1026" type="#_x0000_t67" style="position:absolute;margin-left:212.85pt;margin-top:4.15pt;width:21.75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" adj="13883" fillcolor="#002e63" strokecolor="#001f47" strokeweight="2pt"/>
            </w:pict>
          </mc:Fallback>
        </mc:AlternateContent>
      </w:r>
      <w:r w:rsidRPr="0075121E">
        <w:rPr>
          <w:rFonts w:ascii="Verdana" w:eastAsia="Verdana" w:hAnsi="Verdana" w:cs="Verdana"/>
        </w:rPr>
        <w:t xml:space="preserve">Lappeenranta       </w:t>
      </w:r>
      <w:r w:rsidRPr="0075121E">
        <w:rPr>
          <w:rFonts w:ascii="Verdana" w:eastAsia="Verdana" w:hAnsi="Verdana" w:cs="Verdana"/>
        </w:rPr>
        <w:tab/>
        <w:t xml:space="preserve">    3 361 000</w:t>
      </w:r>
      <w:r w:rsidRPr="0075121E">
        <w:rPr>
          <w:rFonts w:ascii="Verdana" w:eastAsia="Verdana" w:hAnsi="Verdana" w:cs="Verdana"/>
        </w:rPr>
        <w:tab/>
      </w:r>
      <w:r w:rsidRPr="0075121E">
        <w:rPr>
          <w:rFonts w:ascii="Verdana" w:eastAsia="Verdana" w:hAnsi="Verdana" w:cs="Verdana"/>
        </w:rPr>
        <w:tab/>
        <w:t xml:space="preserve">46 </w:t>
      </w:r>
      <w:r w:rsidRPr="0075121E">
        <w:rPr>
          <w:rFonts w:ascii="Verdana" w:eastAsia="Verdana" w:hAnsi="Verdana" w:cs="Verdana"/>
        </w:rPr>
        <w:tab/>
        <w:t>13 444 000                  184</w:t>
      </w:r>
    </w:p>
    <w:p w:rsidR="008B3B47" w:rsidRPr="0075121E" w:rsidRDefault="008B3B47" w:rsidP="008B3B47">
      <w:pPr>
        <w:rPr>
          <w:rFonts w:ascii="Verdana" w:eastAsia="Verdana" w:hAnsi="Verdana" w:cs="Verdana"/>
        </w:rPr>
      </w:pPr>
      <w:r w:rsidRPr="0075121E">
        <w:rPr>
          <w:rFonts w:ascii="Verdana" w:eastAsia="Verdana" w:hAnsi="Verdana" w:cs="Verdana"/>
        </w:rPr>
        <w:t>Vaasa</w:t>
      </w:r>
      <w:r w:rsidRPr="0075121E">
        <w:rPr>
          <w:rFonts w:ascii="Verdana" w:eastAsia="Verdana" w:hAnsi="Verdana" w:cs="Verdana"/>
        </w:rPr>
        <w:tab/>
      </w:r>
      <w:r w:rsidRPr="0075121E">
        <w:rPr>
          <w:rFonts w:ascii="Verdana" w:eastAsia="Verdana" w:hAnsi="Verdana" w:cs="Verdana"/>
        </w:rPr>
        <w:tab/>
        <w:t xml:space="preserve">    3 372 000</w:t>
      </w:r>
      <w:r w:rsidRPr="0075121E">
        <w:rPr>
          <w:rFonts w:ascii="Verdana" w:eastAsia="Verdana" w:hAnsi="Verdana" w:cs="Verdana"/>
        </w:rPr>
        <w:tab/>
      </w:r>
      <w:r w:rsidRPr="0075121E">
        <w:rPr>
          <w:rFonts w:ascii="Verdana" w:eastAsia="Verdana" w:hAnsi="Verdana" w:cs="Verdana"/>
        </w:rPr>
        <w:tab/>
        <w:t>50</w:t>
      </w:r>
      <w:r w:rsidRPr="0075121E">
        <w:rPr>
          <w:rFonts w:ascii="Verdana" w:eastAsia="Verdana" w:hAnsi="Verdana" w:cs="Verdana"/>
        </w:rPr>
        <w:tab/>
        <w:t>13 488 000</w:t>
      </w:r>
      <w:r w:rsidRPr="0075121E">
        <w:rPr>
          <w:rFonts w:ascii="Verdana" w:eastAsia="Verdana" w:hAnsi="Verdana" w:cs="Verdana"/>
        </w:rPr>
        <w:tab/>
        <w:t xml:space="preserve">              200</w:t>
      </w:r>
    </w:p>
    <w:p w:rsidR="008B3B47" w:rsidRPr="0075121E" w:rsidRDefault="008B3B47" w:rsidP="008B3B47">
      <w:pPr>
        <w:rPr>
          <w:rFonts w:ascii="Verdana" w:eastAsia="Verdana" w:hAnsi="Verdana" w:cs="Verdana"/>
        </w:rPr>
      </w:pPr>
      <w:r w:rsidRPr="0075121E">
        <w:rPr>
          <w:rFonts w:ascii="Verdana" w:eastAsia="Verdana" w:hAnsi="Verdana" w:cs="Verdana"/>
        </w:rPr>
        <w:t xml:space="preserve">Pori              </w:t>
      </w:r>
      <w:r w:rsidRPr="0075121E">
        <w:rPr>
          <w:rFonts w:ascii="Verdana" w:eastAsia="Verdana" w:hAnsi="Verdana" w:cs="Verdana"/>
        </w:rPr>
        <w:tab/>
        <w:t xml:space="preserve"> </w:t>
      </w:r>
      <w:r w:rsidRPr="0075121E">
        <w:rPr>
          <w:rFonts w:ascii="Verdana" w:eastAsia="Verdana" w:hAnsi="Verdana" w:cs="Verdana"/>
        </w:rPr>
        <w:tab/>
        <w:t xml:space="preserve">    3 846 000</w:t>
      </w:r>
      <w:r w:rsidRPr="0075121E">
        <w:rPr>
          <w:rFonts w:ascii="Verdana" w:eastAsia="Verdana" w:hAnsi="Verdana" w:cs="Verdana"/>
        </w:rPr>
        <w:tab/>
      </w:r>
      <w:r w:rsidRPr="0075121E">
        <w:rPr>
          <w:rFonts w:ascii="Verdana" w:eastAsia="Verdana" w:hAnsi="Verdana" w:cs="Verdana"/>
        </w:rPr>
        <w:tab/>
        <w:t>45</w:t>
      </w:r>
      <w:r w:rsidRPr="0075121E">
        <w:rPr>
          <w:rFonts w:ascii="Verdana" w:eastAsia="Verdana" w:hAnsi="Verdana" w:cs="Verdana"/>
        </w:rPr>
        <w:tab/>
        <w:t>15 384 000                  180</w:t>
      </w:r>
    </w:p>
    <w:p w:rsidR="008B3B47" w:rsidRPr="0075121E" w:rsidRDefault="008B3B47" w:rsidP="008B3B47">
      <w:pPr>
        <w:rPr>
          <w:rFonts w:ascii="Verdana" w:eastAsia="Verdana" w:hAnsi="Verdana" w:cs="Verdana"/>
        </w:rPr>
      </w:pPr>
      <w:r w:rsidRPr="0075121E">
        <w:rPr>
          <w:rFonts w:ascii="Verdana" w:eastAsia="Verdana" w:hAnsi="Verdana" w:cs="Verdana"/>
        </w:rPr>
        <w:t xml:space="preserve">Kouvola            </w:t>
      </w:r>
      <w:r w:rsidRPr="0075121E">
        <w:rPr>
          <w:rFonts w:ascii="Verdana" w:eastAsia="Verdana" w:hAnsi="Verdana" w:cs="Verdana"/>
        </w:rPr>
        <w:tab/>
        <w:t xml:space="preserve">    3 935 000</w:t>
      </w:r>
      <w:r w:rsidRPr="0075121E">
        <w:rPr>
          <w:rFonts w:ascii="Verdana" w:eastAsia="Verdana" w:hAnsi="Verdana" w:cs="Verdana"/>
        </w:rPr>
        <w:tab/>
      </w:r>
      <w:r w:rsidRPr="0075121E">
        <w:rPr>
          <w:rFonts w:ascii="Verdana" w:eastAsia="Verdana" w:hAnsi="Verdana" w:cs="Verdana"/>
        </w:rPr>
        <w:tab/>
        <w:t>46                 15 740 000                  184</w:t>
      </w:r>
    </w:p>
    <w:p w:rsidR="008B3B47" w:rsidRPr="0075121E" w:rsidRDefault="008B3B47" w:rsidP="008B3B47">
      <w:pPr>
        <w:rPr>
          <w:rFonts w:ascii="Verdana" w:eastAsia="Verdana" w:hAnsi="Verdana" w:cs="Verdana"/>
        </w:rPr>
      </w:pPr>
      <w:r w:rsidRPr="0075121E">
        <w:rPr>
          <w:rFonts w:ascii="Verdana" w:eastAsia="Verdana" w:hAnsi="Verdana" w:cs="Verdana"/>
        </w:rPr>
        <w:t xml:space="preserve">Lahti              </w:t>
      </w:r>
      <w:r w:rsidRPr="0075121E">
        <w:rPr>
          <w:rFonts w:ascii="Verdana" w:eastAsia="Verdana" w:hAnsi="Verdana" w:cs="Verdana"/>
        </w:rPr>
        <w:tab/>
        <w:t xml:space="preserve">    5 527 000</w:t>
      </w:r>
      <w:r w:rsidRPr="0075121E">
        <w:rPr>
          <w:rFonts w:ascii="Verdana" w:eastAsia="Verdana" w:hAnsi="Verdana" w:cs="Verdana"/>
        </w:rPr>
        <w:tab/>
      </w:r>
      <w:r w:rsidRPr="0075121E">
        <w:rPr>
          <w:rFonts w:ascii="Verdana" w:eastAsia="Verdana" w:hAnsi="Verdana" w:cs="Verdana"/>
        </w:rPr>
        <w:tab/>
        <w:t xml:space="preserve">46     </w:t>
      </w:r>
      <w:r w:rsidRPr="0075121E">
        <w:rPr>
          <w:rFonts w:ascii="Verdana" w:eastAsia="Verdana" w:hAnsi="Verdana" w:cs="Verdana"/>
        </w:rPr>
        <w:tab/>
        <w:t>22 108 000                  184</w:t>
      </w:r>
    </w:p>
    <w:p w:rsidR="008B3B47" w:rsidRPr="0075121E" w:rsidRDefault="008B3B47" w:rsidP="008B3B47">
      <w:pPr>
        <w:rPr>
          <w:rFonts w:ascii="Verdana" w:eastAsia="Verdana" w:hAnsi="Verdana" w:cs="Verdana"/>
        </w:rPr>
      </w:pPr>
      <w:r w:rsidRPr="0075121E">
        <w:rPr>
          <w:rFonts w:ascii="Verdana" w:eastAsia="Verdana" w:hAnsi="Verdana" w:cs="Verdana"/>
        </w:rPr>
        <w:t>Kuopio</w:t>
      </w:r>
      <w:r w:rsidRPr="0075121E">
        <w:rPr>
          <w:rFonts w:ascii="Verdana" w:eastAsia="Verdana" w:hAnsi="Verdana" w:cs="Verdana"/>
        </w:rPr>
        <w:tab/>
      </w:r>
      <w:r w:rsidRPr="0075121E">
        <w:rPr>
          <w:rFonts w:ascii="Verdana" w:eastAsia="Verdana" w:hAnsi="Verdana" w:cs="Verdana"/>
        </w:rPr>
        <w:tab/>
        <w:t xml:space="preserve">    5 530 000</w:t>
      </w:r>
      <w:r w:rsidRPr="0075121E">
        <w:rPr>
          <w:rFonts w:ascii="Verdana" w:eastAsia="Verdana" w:hAnsi="Verdana" w:cs="Verdana"/>
        </w:rPr>
        <w:tab/>
      </w:r>
      <w:r w:rsidRPr="0075121E">
        <w:rPr>
          <w:rFonts w:ascii="Verdana" w:eastAsia="Verdana" w:hAnsi="Verdana" w:cs="Verdana"/>
        </w:rPr>
        <w:tab/>
        <w:t>47</w:t>
      </w:r>
      <w:r w:rsidRPr="0075121E">
        <w:rPr>
          <w:rFonts w:ascii="Verdana" w:eastAsia="Verdana" w:hAnsi="Verdana" w:cs="Verdana"/>
        </w:rPr>
        <w:tab/>
        <w:t>22 120 000                  188</w:t>
      </w:r>
    </w:p>
    <w:p w:rsidR="008B3B47" w:rsidRPr="0075121E" w:rsidRDefault="008B3B47" w:rsidP="008B3B47">
      <w:pPr>
        <w:rPr>
          <w:rFonts w:ascii="Verdana" w:eastAsia="Verdana" w:hAnsi="Verdana" w:cs="Verdana"/>
        </w:rPr>
      </w:pPr>
      <w:r w:rsidRPr="0075121E">
        <w:rPr>
          <w:rFonts w:ascii="Verdana" w:eastAsia="Verdana" w:hAnsi="Verdana" w:cs="Verdana"/>
        </w:rPr>
        <w:t xml:space="preserve">Jyväskylä          </w:t>
      </w:r>
      <w:r w:rsidRPr="0075121E">
        <w:rPr>
          <w:rFonts w:ascii="Verdana" w:eastAsia="Verdana" w:hAnsi="Verdana" w:cs="Verdana"/>
        </w:rPr>
        <w:tab/>
        <w:t xml:space="preserve">    6 438 000</w:t>
      </w:r>
      <w:r w:rsidRPr="0075121E">
        <w:rPr>
          <w:rFonts w:ascii="Verdana" w:eastAsia="Verdana" w:hAnsi="Verdana" w:cs="Verdana"/>
        </w:rPr>
        <w:tab/>
      </w:r>
      <w:r w:rsidRPr="0075121E">
        <w:rPr>
          <w:rFonts w:ascii="Verdana" w:eastAsia="Verdana" w:hAnsi="Verdana" w:cs="Verdana"/>
        </w:rPr>
        <w:tab/>
        <w:t>46</w:t>
      </w:r>
      <w:r w:rsidRPr="0075121E">
        <w:rPr>
          <w:rFonts w:ascii="Verdana" w:eastAsia="Verdana" w:hAnsi="Verdana" w:cs="Verdana"/>
        </w:rPr>
        <w:tab/>
        <w:t>25 752 000                  184</w:t>
      </w:r>
    </w:p>
    <w:p w:rsidR="008B3B47" w:rsidRPr="0075121E" w:rsidRDefault="008B3B47" w:rsidP="008B3B47">
      <w:pPr>
        <w:rPr>
          <w:rFonts w:ascii="Verdana" w:eastAsia="Verdana" w:hAnsi="Verdana" w:cs="Verdana"/>
        </w:rPr>
      </w:pPr>
      <w:r w:rsidRPr="0075121E">
        <w:rPr>
          <w:rFonts w:ascii="Verdana" w:eastAsia="Verdana" w:hAnsi="Verdana" w:cs="Verdana"/>
        </w:rPr>
        <w:t xml:space="preserve">Turku              </w:t>
      </w:r>
      <w:r w:rsidRPr="0075121E">
        <w:rPr>
          <w:rFonts w:ascii="Verdana" w:eastAsia="Verdana" w:hAnsi="Verdana" w:cs="Verdana"/>
        </w:rPr>
        <w:tab/>
        <w:t xml:space="preserve">    9 106 000</w:t>
      </w:r>
      <w:r w:rsidRPr="0075121E">
        <w:rPr>
          <w:rFonts w:ascii="Verdana" w:eastAsia="Verdana" w:hAnsi="Verdana" w:cs="Verdana"/>
        </w:rPr>
        <w:tab/>
      </w:r>
      <w:r w:rsidRPr="0075121E">
        <w:rPr>
          <w:rFonts w:ascii="Verdana" w:eastAsia="Verdana" w:hAnsi="Verdana" w:cs="Verdana"/>
        </w:rPr>
        <w:tab/>
        <w:t>49                 36 424 000                  196</w:t>
      </w:r>
    </w:p>
    <w:p w:rsidR="008B3B47" w:rsidRPr="0075121E" w:rsidRDefault="008B3B47" w:rsidP="008B3B47">
      <w:pPr>
        <w:rPr>
          <w:rFonts w:ascii="Verdana" w:eastAsia="Verdana" w:hAnsi="Verdana" w:cs="Verdana"/>
        </w:rPr>
      </w:pPr>
      <w:r w:rsidRPr="0075121E">
        <w:rPr>
          <w:rFonts w:ascii="Verdana" w:eastAsia="Verdana" w:hAnsi="Verdana" w:cs="Verdana"/>
        </w:rPr>
        <w:t>Oulu</w:t>
      </w:r>
      <w:r w:rsidRPr="0075121E">
        <w:rPr>
          <w:rFonts w:ascii="Verdana" w:eastAsia="Verdana" w:hAnsi="Verdana" w:cs="Verdana"/>
        </w:rPr>
        <w:tab/>
      </w:r>
      <w:r w:rsidRPr="0075121E">
        <w:rPr>
          <w:rFonts w:ascii="Verdana" w:eastAsia="Verdana" w:hAnsi="Verdana" w:cs="Verdana"/>
        </w:rPr>
        <w:tab/>
        <w:t xml:space="preserve">    9 829 000</w:t>
      </w:r>
      <w:r w:rsidRPr="0075121E">
        <w:rPr>
          <w:rFonts w:ascii="Verdana" w:eastAsia="Verdana" w:hAnsi="Verdana" w:cs="Verdana"/>
        </w:rPr>
        <w:tab/>
      </w:r>
      <w:r w:rsidRPr="0075121E">
        <w:rPr>
          <w:rFonts w:ascii="Verdana" w:eastAsia="Verdana" w:hAnsi="Verdana" w:cs="Verdana"/>
        </w:rPr>
        <w:tab/>
        <w:t xml:space="preserve">49 </w:t>
      </w:r>
      <w:r w:rsidRPr="0075121E">
        <w:rPr>
          <w:rFonts w:ascii="Verdana" w:eastAsia="Verdana" w:hAnsi="Verdana" w:cs="Verdana"/>
        </w:rPr>
        <w:tab/>
        <w:t>39 316 000                  196</w:t>
      </w:r>
    </w:p>
    <w:p w:rsidR="008B3B47" w:rsidRPr="0075121E" w:rsidRDefault="008B3B47" w:rsidP="008B3B47">
      <w:pPr>
        <w:rPr>
          <w:rFonts w:ascii="Verdana" w:eastAsia="Verdana" w:hAnsi="Verdana" w:cs="Verdana"/>
        </w:rPr>
      </w:pPr>
      <w:r w:rsidRPr="0075121E">
        <w:rPr>
          <w:rFonts w:ascii="Verdana" w:eastAsia="Verdana" w:hAnsi="Verdana" w:cs="Verdana"/>
        </w:rPr>
        <w:t xml:space="preserve">Tampere            </w:t>
      </w:r>
      <w:r w:rsidRPr="0075121E">
        <w:rPr>
          <w:rFonts w:ascii="Verdana" w:eastAsia="Verdana" w:hAnsi="Verdana" w:cs="Verdana"/>
        </w:rPr>
        <w:tab/>
        <w:t xml:space="preserve">   11 484 000</w:t>
      </w:r>
      <w:r w:rsidRPr="0075121E">
        <w:rPr>
          <w:rFonts w:ascii="Verdana" w:eastAsia="Verdana" w:hAnsi="Verdana" w:cs="Verdana"/>
        </w:rPr>
        <w:tab/>
      </w:r>
      <w:r w:rsidRPr="0075121E">
        <w:rPr>
          <w:rFonts w:ascii="Verdana" w:eastAsia="Verdana" w:hAnsi="Verdana" w:cs="Verdana"/>
        </w:rPr>
        <w:tab/>
        <w:t>50                 45 936 000                  200</w:t>
      </w:r>
    </w:p>
    <w:p w:rsidR="008B3B47" w:rsidRPr="0075121E" w:rsidRDefault="008B3B47" w:rsidP="008B3B47">
      <w:pPr>
        <w:rPr>
          <w:rFonts w:ascii="Verdana" w:eastAsia="Verdana" w:hAnsi="Verdana" w:cs="Verdana"/>
        </w:rPr>
      </w:pPr>
      <w:r w:rsidRPr="0075121E">
        <w:rPr>
          <w:rFonts w:ascii="Verdana" w:eastAsia="Verdana" w:hAnsi="Verdana" w:cs="Verdana"/>
        </w:rPr>
        <w:t xml:space="preserve">Vantaa             </w:t>
      </w:r>
      <w:r w:rsidRPr="0075121E">
        <w:rPr>
          <w:rFonts w:ascii="Verdana" w:eastAsia="Verdana" w:hAnsi="Verdana" w:cs="Verdana"/>
        </w:rPr>
        <w:tab/>
        <w:t xml:space="preserve">   12 606 000</w:t>
      </w:r>
      <w:r w:rsidRPr="0075121E">
        <w:rPr>
          <w:rFonts w:ascii="Verdana" w:eastAsia="Verdana" w:hAnsi="Verdana" w:cs="Verdana"/>
        </w:rPr>
        <w:tab/>
      </w:r>
      <w:r w:rsidRPr="0075121E">
        <w:rPr>
          <w:rFonts w:ascii="Verdana" w:eastAsia="Verdana" w:hAnsi="Verdana" w:cs="Verdana"/>
        </w:rPr>
        <w:tab/>
        <w:t>57                 50 424 000                  228</w:t>
      </w:r>
    </w:p>
    <w:p w:rsidR="008B3B47" w:rsidRPr="0075121E" w:rsidRDefault="008B3B47" w:rsidP="008B3B47">
      <w:pPr>
        <w:rPr>
          <w:rFonts w:ascii="Verdana" w:eastAsia="Verdana" w:hAnsi="Verdana" w:cs="Verdana"/>
        </w:rPr>
      </w:pPr>
      <w:r w:rsidRPr="0075121E">
        <w:rPr>
          <w:rFonts w:ascii="Verdana" w:eastAsia="Verdana" w:hAnsi="Verdana" w:cs="Verdana"/>
        </w:rPr>
        <w:t xml:space="preserve">Espoo              </w:t>
      </w:r>
      <w:r w:rsidRPr="0075121E">
        <w:rPr>
          <w:rFonts w:ascii="Verdana" w:eastAsia="Verdana" w:hAnsi="Verdana" w:cs="Verdana"/>
        </w:rPr>
        <w:tab/>
        <w:t xml:space="preserve">   19 904 000</w:t>
      </w:r>
      <w:r w:rsidRPr="0075121E">
        <w:rPr>
          <w:rFonts w:ascii="Verdana" w:eastAsia="Verdana" w:hAnsi="Verdana" w:cs="Verdana"/>
        </w:rPr>
        <w:tab/>
      </w:r>
      <w:r w:rsidRPr="0075121E">
        <w:rPr>
          <w:rFonts w:ascii="Verdana" w:eastAsia="Verdana" w:hAnsi="Verdana" w:cs="Verdana"/>
        </w:rPr>
        <w:tab/>
        <w:t>72</w:t>
      </w:r>
      <w:r w:rsidRPr="0075121E">
        <w:rPr>
          <w:rFonts w:ascii="Verdana" w:eastAsia="Verdana" w:hAnsi="Verdana" w:cs="Verdana"/>
        </w:rPr>
        <w:tab/>
        <w:t>79 616 000                  288</w:t>
      </w:r>
    </w:p>
    <w:p w:rsidR="008B3B47" w:rsidRPr="00501B56" w:rsidRDefault="008B3B47" w:rsidP="008B3B47">
      <w:pPr>
        <w:rPr>
          <w:rFonts w:ascii="Verdana" w:eastAsia="Verdana" w:hAnsi="Verdana" w:cs="Verdana"/>
        </w:rPr>
      </w:pPr>
      <w:r w:rsidRPr="0075121E">
        <w:rPr>
          <w:rFonts w:ascii="Verdana" w:eastAsia="Verdana" w:hAnsi="Verdana" w:cs="Verdana"/>
        </w:rPr>
        <w:t xml:space="preserve">Helsinki           </w:t>
      </w:r>
      <w:r w:rsidRPr="0075121E">
        <w:rPr>
          <w:rFonts w:ascii="Verdana" w:eastAsia="Verdana" w:hAnsi="Verdana" w:cs="Verdana"/>
        </w:rPr>
        <w:tab/>
        <w:t xml:space="preserve">   40 825 000</w:t>
      </w:r>
      <w:r w:rsidRPr="0075121E">
        <w:rPr>
          <w:rFonts w:ascii="Verdana" w:eastAsia="Verdana" w:hAnsi="Verdana" w:cs="Verdana"/>
        </w:rPr>
        <w:tab/>
      </w:r>
      <w:r w:rsidRPr="0075121E">
        <w:rPr>
          <w:rFonts w:ascii="Verdana" w:eastAsia="Verdana" w:hAnsi="Verdana" w:cs="Verdana"/>
        </w:rPr>
        <w:tab/>
        <w:t>64                163 300 000                 256</w:t>
      </w:r>
    </w:p>
    <w:p w:rsidR="008B3B47" w:rsidRPr="00E837C2" w:rsidRDefault="008B3B47" w:rsidP="008B3B47">
      <w:pPr>
        <w:rPr>
          <w:rFonts w:asciiTheme="majorHAnsi" w:hAnsiTheme="majorHAnsi"/>
        </w:rPr>
      </w:pPr>
    </w:p>
    <w:sectPr w:rsidR="008B3B47" w:rsidRPr="00E837C2" w:rsidSect="00EC5FEC">
      <w:headerReference w:type="default" r:id="rId8"/>
      <w:headerReference w:type="first" r:id="rId9"/>
      <w:footerReference w:type="first" r:id="rId10"/>
      <w:pgSz w:w="11906" w:h="16838" w:code="9"/>
      <w:pgMar w:top="1871" w:right="851" w:bottom="567" w:left="1134"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A9" w:rsidRDefault="003B4CA9" w:rsidP="002233A8">
      <w:r>
        <w:separator/>
      </w:r>
    </w:p>
  </w:endnote>
  <w:endnote w:type="continuationSeparator" w:id="0">
    <w:p w:rsidR="003B4CA9" w:rsidRDefault="003B4CA9"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926" w:type="dxa"/>
      <w:tblLayout w:type="fixed"/>
      <w:tblLook w:val="04A0" w:firstRow="1" w:lastRow="0" w:firstColumn="1" w:lastColumn="0" w:noHBand="0" w:noVBand="1"/>
    </w:tblPr>
    <w:tblGrid>
      <w:gridCol w:w="2002"/>
      <w:gridCol w:w="2562"/>
      <w:gridCol w:w="1583"/>
      <w:gridCol w:w="3759"/>
      <w:gridCol w:w="20"/>
    </w:tblGrid>
    <w:tr w:rsidR="00B66FC7" w:rsidRPr="00A17AA6" w:rsidTr="00C82CC1">
      <w:trPr>
        <w:trHeight w:val="110"/>
      </w:trPr>
      <w:tc>
        <w:tcPr>
          <w:tcW w:w="2002" w:type="dxa"/>
          <w:tcBorders>
            <w:top w:val="dotted" w:sz="12" w:space="0" w:color="A6A6A6"/>
          </w:tcBorders>
        </w:tcPr>
        <w:p w:rsidR="00B66FC7" w:rsidRPr="00A257A0" w:rsidRDefault="00B66FC7" w:rsidP="00A257A0">
          <w:pPr>
            <w:pStyle w:val="Alatunniste"/>
          </w:pPr>
        </w:p>
      </w:tc>
      <w:tc>
        <w:tcPr>
          <w:tcW w:w="2562" w:type="dxa"/>
          <w:tcBorders>
            <w:top w:val="dotted" w:sz="12" w:space="0" w:color="A6A6A6"/>
          </w:tcBorders>
        </w:tcPr>
        <w:p w:rsidR="00B66FC7" w:rsidRPr="00A17AA6" w:rsidRDefault="00B66FC7">
          <w:pPr>
            <w:pStyle w:val="Alatunniste"/>
          </w:pPr>
        </w:p>
      </w:tc>
      <w:tc>
        <w:tcPr>
          <w:tcW w:w="1583" w:type="dxa"/>
          <w:tcBorders>
            <w:top w:val="dotted" w:sz="12" w:space="0" w:color="A6A6A6"/>
          </w:tcBorders>
        </w:tcPr>
        <w:p w:rsidR="00B66FC7" w:rsidRPr="00A17AA6" w:rsidRDefault="00B66FC7">
          <w:pPr>
            <w:pStyle w:val="Alatunniste"/>
          </w:pPr>
        </w:p>
      </w:tc>
      <w:tc>
        <w:tcPr>
          <w:tcW w:w="3759" w:type="dxa"/>
          <w:tcBorders>
            <w:top w:val="dotted" w:sz="12" w:space="0" w:color="A6A6A6"/>
          </w:tcBorders>
        </w:tcPr>
        <w:p w:rsidR="00B66FC7" w:rsidRPr="00A17AA6" w:rsidRDefault="00B66FC7">
          <w:pPr>
            <w:pStyle w:val="Alatunniste"/>
          </w:pPr>
        </w:p>
      </w:tc>
      <w:tc>
        <w:tcPr>
          <w:tcW w:w="20" w:type="dxa"/>
        </w:tcPr>
        <w:p w:rsidR="00B66FC7" w:rsidRPr="00A17AA6" w:rsidRDefault="00B66FC7">
          <w:pPr>
            <w:pStyle w:val="Alatunniste"/>
          </w:pPr>
        </w:p>
      </w:tc>
    </w:tr>
    <w:tr w:rsidR="00B66FC7" w:rsidRPr="00C658E4" w:rsidTr="00D85D21">
      <w:trPr>
        <w:trHeight w:hRule="exact" w:val="1070"/>
      </w:trPr>
      <w:tc>
        <w:tcPr>
          <w:tcW w:w="2002" w:type="dxa"/>
        </w:tcPr>
        <w:p w:rsidR="00B66FC7" w:rsidRPr="00A257A0" w:rsidRDefault="00B66FC7">
          <w:pPr>
            <w:pStyle w:val="Alatunniste"/>
            <w:rPr>
              <w:color w:val="00A6D6" w:themeColor="accent2"/>
            </w:rPr>
          </w:pPr>
          <w:r w:rsidRPr="00A257A0">
            <w:rPr>
              <w:color w:val="00A6D6" w:themeColor="accent2"/>
            </w:rPr>
            <w:t>www.</w:t>
          </w:r>
          <w:r w:rsidR="00C82CC1">
            <w:rPr>
              <w:color w:val="00A6D6" w:themeColor="accent2"/>
            </w:rPr>
            <w:t>kuntaliitto.fi</w:t>
          </w:r>
        </w:p>
        <w:p w:rsidR="00B66FC7" w:rsidRPr="00A17AA6" w:rsidRDefault="00C82CC1" w:rsidP="00C82CC1">
          <w:pPr>
            <w:pStyle w:val="Alatunniste"/>
          </w:pPr>
          <w:r>
            <w:rPr>
              <w:color w:val="00A6D6" w:themeColor="accent2"/>
            </w:rPr>
            <w:t>www.kommunforbundet.fi</w:t>
          </w:r>
        </w:p>
      </w:tc>
      <w:tc>
        <w:tcPr>
          <w:tcW w:w="2562" w:type="dxa"/>
        </w:tcPr>
        <w:p w:rsidR="00B66FC7" w:rsidRPr="00756BFE" w:rsidRDefault="00B66FC7" w:rsidP="00A257A0">
          <w:pPr>
            <w:pStyle w:val="Alatunniste"/>
            <w:rPr>
              <w:b/>
              <w:color w:val="002E63" w:themeColor="text1"/>
            </w:rPr>
          </w:pPr>
          <w:r w:rsidRPr="00756BFE">
            <w:rPr>
              <w:b/>
              <w:color w:val="002E63" w:themeColor="text1"/>
            </w:rPr>
            <w:t>Suomen Kuntaliitto</w:t>
          </w:r>
        </w:p>
        <w:p w:rsidR="00B66FC7" w:rsidRPr="00A17AA6" w:rsidRDefault="00B66FC7" w:rsidP="00A257A0">
          <w:pPr>
            <w:pStyle w:val="Alatunniste"/>
          </w:pPr>
          <w:r w:rsidRPr="00A17AA6">
            <w:t>Toinen linja 14</w:t>
          </w:r>
          <w:r>
            <w:t>,</w:t>
          </w:r>
          <w:r w:rsidRPr="00A17AA6">
            <w:t>00530 Helsinki</w:t>
          </w:r>
        </w:p>
        <w:p w:rsidR="00B66FC7" w:rsidRDefault="00B66FC7" w:rsidP="00A257A0">
          <w:pPr>
            <w:pStyle w:val="Alatunniste"/>
          </w:pPr>
          <w:r w:rsidRPr="00A17AA6">
            <w:t>PL 200, 00101 H</w:t>
          </w:r>
          <w:r>
            <w:t>elsinki</w:t>
          </w:r>
        </w:p>
        <w:p w:rsidR="00B66FC7" w:rsidRPr="00A17AA6" w:rsidRDefault="00B66FC7">
          <w:pPr>
            <w:pStyle w:val="Alatunniste"/>
          </w:pPr>
          <w:r>
            <w:t xml:space="preserve">Puh. </w:t>
          </w:r>
          <w:r w:rsidRPr="00A17AA6">
            <w:t>09 7711</w:t>
          </w:r>
        </w:p>
        <w:p w:rsidR="00B66FC7" w:rsidRDefault="00D85D21" w:rsidP="00A257A0">
          <w:pPr>
            <w:pStyle w:val="Alatunniste"/>
          </w:pPr>
          <w:r w:rsidRPr="00D85D21">
            <w:t>etunimi.sukunimi@kuntaliitto.fi</w:t>
          </w:r>
        </w:p>
        <w:p w:rsidR="00D85D21" w:rsidRPr="00D85D21" w:rsidRDefault="00D85D21" w:rsidP="00D85D21">
          <w:pPr>
            <w:rPr>
              <w:color w:val="808080" w:themeColor="background1" w:themeShade="80"/>
              <w:sz w:val="14"/>
              <w:szCs w:val="14"/>
            </w:rPr>
          </w:pPr>
          <w:r w:rsidRPr="00D85D21">
            <w:rPr>
              <w:color w:val="808080" w:themeColor="background1" w:themeShade="80"/>
              <w:sz w:val="14"/>
              <w:szCs w:val="14"/>
            </w:rPr>
            <w:t>Y-tunnus 0926151-4</w:t>
          </w:r>
        </w:p>
        <w:p w:rsidR="00D85D21" w:rsidRPr="00A17AA6" w:rsidRDefault="00D85D21" w:rsidP="00A257A0">
          <w:pPr>
            <w:pStyle w:val="Alatunniste"/>
          </w:pPr>
        </w:p>
      </w:tc>
      <w:tc>
        <w:tcPr>
          <w:tcW w:w="5359" w:type="dxa"/>
          <w:gridSpan w:val="3"/>
        </w:tcPr>
        <w:p w:rsidR="00B66FC7" w:rsidRPr="00756BFE" w:rsidRDefault="00B66FC7">
          <w:pPr>
            <w:pStyle w:val="Alatunniste"/>
            <w:rPr>
              <w:b/>
              <w:color w:val="002E63" w:themeColor="text1"/>
              <w:lang w:val="sv-FI"/>
            </w:rPr>
          </w:pPr>
          <w:r w:rsidRPr="00756BFE">
            <w:rPr>
              <w:b/>
              <w:color w:val="002E63" w:themeColor="text1"/>
              <w:lang w:val="sv-FI"/>
            </w:rPr>
            <w:t>Finlands Kommunförbund</w:t>
          </w:r>
        </w:p>
        <w:p w:rsidR="00B66FC7" w:rsidRPr="00A17AA6" w:rsidRDefault="00B66FC7">
          <w:pPr>
            <w:pStyle w:val="Alatunniste"/>
            <w:rPr>
              <w:lang w:val="sv-FI"/>
            </w:rPr>
          </w:pPr>
          <w:r w:rsidRPr="00A17AA6">
            <w:rPr>
              <w:lang w:val="sv-FI"/>
            </w:rPr>
            <w:t>Andra linjen 14</w:t>
          </w:r>
          <w:r>
            <w:rPr>
              <w:lang w:val="sv-FI"/>
            </w:rPr>
            <w:t>,</w:t>
          </w:r>
          <w:r w:rsidRPr="00A17AA6">
            <w:rPr>
              <w:lang w:val="sv-FI"/>
            </w:rPr>
            <w:t>00530 Helsingfors</w:t>
          </w:r>
        </w:p>
        <w:p w:rsidR="00B66FC7" w:rsidRPr="00A17AA6" w:rsidRDefault="00B66FC7">
          <w:pPr>
            <w:pStyle w:val="Alatunniste"/>
            <w:rPr>
              <w:lang w:val="sv-FI"/>
            </w:rPr>
          </w:pPr>
          <w:r w:rsidRPr="00A17AA6">
            <w:rPr>
              <w:lang w:val="sv-FI"/>
            </w:rPr>
            <w:t>PB 200, 00101 Helsingfors</w:t>
          </w:r>
        </w:p>
        <w:p w:rsidR="00B66FC7" w:rsidRPr="00A17AA6" w:rsidRDefault="00B66FC7">
          <w:pPr>
            <w:pStyle w:val="Alatunniste"/>
            <w:rPr>
              <w:lang w:val="sv-FI"/>
            </w:rPr>
          </w:pPr>
          <w:r>
            <w:rPr>
              <w:lang w:val="sv-FI"/>
            </w:rPr>
            <w:t>Tfn 09</w:t>
          </w:r>
          <w:r w:rsidRPr="00A17AA6">
            <w:rPr>
              <w:lang w:val="sv-FI"/>
            </w:rPr>
            <w:t xml:space="preserve"> 7711</w:t>
          </w:r>
        </w:p>
        <w:p w:rsidR="00B66FC7" w:rsidRDefault="00D85D21" w:rsidP="00A257A0">
          <w:pPr>
            <w:pStyle w:val="Alatunniste"/>
            <w:rPr>
              <w:lang w:val="sv-FI"/>
            </w:rPr>
          </w:pPr>
          <w:r w:rsidRPr="00D85D21">
            <w:rPr>
              <w:lang w:val="sv-FI"/>
            </w:rPr>
            <w:t>fornamn.efternamn@kommunforbundet.fi</w:t>
          </w:r>
        </w:p>
        <w:p w:rsidR="00D85D21" w:rsidRPr="00D85D21" w:rsidRDefault="00D85D21" w:rsidP="00D85D21">
          <w:pPr>
            <w:rPr>
              <w:color w:val="808080" w:themeColor="background1" w:themeShade="80"/>
              <w:sz w:val="14"/>
              <w:szCs w:val="14"/>
              <w:lang w:val="sv-FI"/>
            </w:rPr>
          </w:pPr>
          <w:r w:rsidRPr="00D85D21">
            <w:rPr>
              <w:color w:val="808080" w:themeColor="background1" w:themeShade="80"/>
              <w:sz w:val="14"/>
              <w:szCs w:val="14"/>
              <w:lang w:val="sv-FI"/>
            </w:rPr>
            <w:t>FO-nummer 0926151-4</w:t>
          </w:r>
        </w:p>
        <w:p w:rsidR="00D85D21" w:rsidRPr="00A17AA6" w:rsidRDefault="00D85D21" w:rsidP="00A257A0">
          <w:pPr>
            <w:pStyle w:val="Alatunniste"/>
            <w:rPr>
              <w:lang w:val="sv-FI"/>
            </w:rPr>
          </w:pPr>
        </w:p>
      </w:tc>
    </w:tr>
  </w:tbl>
  <w:p w:rsidR="00F42D13" w:rsidRPr="00F038A9" w:rsidRDefault="00F42D13">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A9" w:rsidRDefault="003B4CA9" w:rsidP="002233A8">
      <w:r>
        <w:separator/>
      </w:r>
    </w:p>
  </w:footnote>
  <w:footnote w:type="continuationSeparator" w:id="0">
    <w:p w:rsidR="003B4CA9" w:rsidRDefault="003B4CA9"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rsidTr="00983278">
      <w:tc>
        <w:tcPr>
          <w:tcW w:w="5216" w:type="dxa"/>
        </w:tcPr>
        <w:p w:rsidR="00887E54" w:rsidRPr="002233A8" w:rsidRDefault="00887E54" w:rsidP="00D21B91">
          <w:pPr>
            <w:pStyle w:val="Yltunniste"/>
          </w:pPr>
        </w:p>
      </w:tc>
      <w:tc>
        <w:tcPr>
          <w:tcW w:w="2608" w:type="dxa"/>
        </w:tcPr>
        <w:p w:rsidR="00887E54" w:rsidRPr="002233A8" w:rsidRDefault="00887E54" w:rsidP="00D21B91">
          <w:pPr>
            <w:pStyle w:val="Yltunniste"/>
          </w:pPr>
        </w:p>
      </w:tc>
      <w:tc>
        <w:tcPr>
          <w:tcW w:w="1304" w:type="dxa"/>
        </w:tcPr>
        <w:p w:rsidR="00887E54" w:rsidRPr="002233A8" w:rsidRDefault="00887E54" w:rsidP="00D21B91">
          <w:pPr>
            <w:pStyle w:val="Yltunniste"/>
          </w:pPr>
        </w:p>
      </w:tc>
      <w:tc>
        <w:tcPr>
          <w:tcW w:w="624" w:type="dxa"/>
        </w:tcPr>
        <w:p w:rsidR="00887E54" w:rsidRPr="002233A8" w:rsidRDefault="00B46A56" w:rsidP="00D21B91">
          <w:pPr>
            <w:pStyle w:val="Yltunniste"/>
          </w:pPr>
          <w:r>
            <w:fldChar w:fldCharType="begin"/>
          </w:r>
          <w:r>
            <w:instrText xml:space="preserve"> PAGE  \* Arabic  \* MERGEFORMAT </w:instrText>
          </w:r>
          <w:r>
            <w:fldChar w:fldCharType="separate"/>
          </w:r>
          <w:r w:rsidR="00497369">
            <w:rPr>
              <w:noProof/>
            </w:rPr>
            <w:t>4</w:t>
          </w:r>
          <w:r>
            <w:fldChar w:fldCharType="end"/>
          </w:r>
        </w:p>
      </w:tc>
    </w:tr>
  </w:tbl>
  <w:p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5216"/>
      <w:gridCol w:w="2608"/>
      <w:gridCol w:w="1304"/>
      <w:gridCol w:w="624"/>
    </w:tblGrid>
    <w:tr w:rsidR="00983278" w:rsidRPr="00A17AA6" w:rsidTr="001F346B">
      <w:tc>
        <w:tcPr>
          <w:tcW w:w="5216" w:type="dxa"/>
          <w:vMerge w:val="restart"/>
        </w:tcPr>
        <w:p w:rsidR="00983278" w:rsidRPr="00A17AA6" w:rsidRDefault="00983278" w:rsidP="00280E94">
          <w:pPr>
            <w:pStyle w:val="Yltunniste"/>
          </w:pPr>
          <w:r w:rsidRPr="00A17AA6">
            <w:rPr>
              <w:noProof/>
              <w:lang w:eastAsia="fi-FI"/>
            </w:rPr>
            <w:drawing>
              <wp:anchor distT="0" distB="0" distL="114300" distR="114300" simplePos="0" relativeHeight="251660288" behindDoc="0" locked="0" layoutInCell="1" allowOverlap="1" wp14:anchorId="6ABF3260" wp14:editId="43FC8B21">
                <wp:simplePos x="0" y="0"/>
                <wp:positionH relativeFrom="column">
                  <wp:posOffset>-151765</wp:posOffset>
                </wp:positionH>
                <wp:positionV relativeFrom="paragraph">
                  <wp:posOffset>-192405</wp:posOffset>
                </wp:positionV>
                <wp:extent cx="2016000" cy="6261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r w:rsidR="004C3CCB">
            <w:t>M</w:t>
          </w:r>
        </w:p>
      </w:tc>
      <w:tc>
        <w:tcPr>
          <w:tcW w:w="2608" w:type="dxa"/>
        </w:tcPr>
        <w:p w:rsidR="00983278" w:rsidRPr="00A17AA6" w:rsidRDefault="005064A0" w:rsidP="004C3CCB">
          <w:pPr>
            <w:pStyle w:val="Yltunniste"/>
            <w:rPr>
              <w:b/>
            </w:rPr>
          </w:pPr>
          <w:r>
            <w:rPr>
              <w:b/>
            </w:rPr>
            <w:t>Lausunto</w:t>
          </w:r>
        </w:p>
      </w:tc>
      <w:tc>
        <w:tcPr>
          <w:tcW w:w="1304" w:type="dxa"/>
        </w:tcPr>
        <w:p w:rsidR="00983278" w:rsidRPr="00A17AA6" w:rsidRDefault="00983278" w:rsidP="00280E94">
          <w:pPr>
            <w:pStyle w:val="Yltunniste"/>
          </w:pPr>
        </w:p>
      </w:tc>
      <w:tc>
        <w:tcPr>
          <w:tcW w:w="624" w:type="dxa"/>
        </w:tcPr>
        <w:p w:rsidR="00983278" w:rsidRPr="00A17AA6" w:rsidRDefault="00983278" w:rsidP="00280E94">
          <w:pPr>
            <w:pStyle w:val="Yltunniste"/>
          </w:pPr>
        </w:p>
      </w:tc>
    </w:tr>
    <w:tr w:rsidR="00CF438D" w:rsidRPr="00A17AA6" w:rsidTr="00005C2D">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r w:rsidR="00CF438D" w:rsidRPr="00A17AA6" w:rsidTr="00947643">
      <w:tc>
        <w:tcPr>
          <w:tcW w:w="5216" w:type="dxa"/>
          <w:vMerge/>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497369" w:rsidP="00280E94">
          <w:pPr>
            <w:pStyle w:val="Yltunniste"/>
          </w:pPr>
          <w:r>
            <w:t>Dnro 494/03/2018</w:t>
          </w:r>
        </w:p>
      </w:tc>
    </w:tr>
    <w:tr w:rsidR="00CF438D" w:rsidRPr="00A17AA6" w:rsidTr="00AC1D29">
      <w:tc>
        <w:tcPr>
          <w:tcW w:w="5216" w:type="dxa"/>
        </w:tcPr>
        <w:p w:rsidR="00CF438D" w:rsidRPr="00A17AA6" w:rsidRDefault="005064A0" w:rsidP="005B325D">
          <w:pPr>
            <w:pStyle w:val="Yltunniste"/>
          </w:pPr>
          <w:r>
            <w:t>Rainio Henrik</w:t>
          </w:r>
          <w:r w:rsidR="008F7F62">
            <w:t>, Sulonen Arto, Myllärinen Tarja</w:t>
          </w:r>
        </w:p>
      </w:tc>
      <w:sdt>
        <w:sdtPr>
          <w:id w:val="1151485930"/>
          <w:date w:fullDate="2018-07-03T00:00:00Z">
            <w:dateFormat w:val="d.M.yyyy"/>
            <w:lid w:val="fi-FI"/>
            <w:storeMappedDataAs w:val="dateTime"/>
            <w:calendar w:val="gregorian"/>
          </w:date>
        </w:sdtPr>
        <w:sdtEndPr/>
        <w:sdtContent>
          <w:tc>
            <w:tcPr>
              <w:tcW w:w="2608" w:type="dxa"/>
            </w:tcPr>
            <w:p w:rsidR="00CF438D" w:rsidRPr="00A17AA6" w:rsidRDefault="00EF62F7" w:rsidP="00EF62F7">
              <w:pPr>
                <w:pStyle w:val="Yltunniste"/>
              </w:pPr>
              <w:r>
                <w:t>3.7.2018</w:t>
              </w:r>
            </w:p>
          </w:tc>
        </w:sdtContent>
      </w:sdt>
      <w:tc>
        <w:tcPr>
          <w:tcW w:w="1928" w:type="dxa"/>
          <w:gridSpan w:val="2"/>
        </w:tcPr>
        <w:p w:rsidR="00CF438D" w:rsidRPr="00A17AA6" w:rsidRDefault="00CF438D" w:rsidP="00280E94">
          <w:pPr>
            <w:pStyle w:val="Yltunniste"/>
          </w:pPr>
        </w:p>
      </w:tc>
    </w:tr>
    <w:tr w:rsidR="00CF438D" w:rsidRPr="00A17AA6" w:rsidTr="008B4BFA">
      <w:trPr>
        <w:trHeight w:hRule="exact" w:val="454"/>
      </w:trPr>
      <w:tc>
        <w:tcPr>
          <w:tcW w:w="5216" w:type="dxa"/>
        </w:tcPr>
        <w:p w:rsidR="00CF438D" w:rsidRPr="00A17AA6" w:rsidRDefault="00CF438D" w:rsidP="00280E94">
          <w:pPr>
            <w:pStyle w:val="Yltunniste"/>
          </w:pPr>
        </w:p>
      </w:tc>
      <w:tc>
        <w:tcPr>
          <w:tcW w:w="2608" w:type="dxa"/>
        </w:tcPr>
        <w:p w:rsidR="00CF438D" w:rsidRPr="00A17AA6" w:rsidRDefault="00CF438D" w:rsidP="00280E94">
          <w:pPr>
            <w:pStyle w:val="Yltunniste"/>
          </w:pPr>
        </w:p>
      </w:tc>
      <w:tc>
        <w:tcPr>
          <w:tcW w:w="1928" w:type="dxa"/>
          <w:gridSpan w:val="2"/>
        </w:tcPr>
        <w:p w:rsidR="00CF438D" w:rsidRPr="00A17AA6" w:rsidRDefault="00CF438D" w:rsidP="00280E94">
          <w:pPr>
            <w:pStyle w:val="Yltunniste"/>
          </w:pPr>
        </w:p>
      </w:tc>
    </w:tr>
  </w:tbl>
  <w:p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3" w15:restartNumberingAfterBreak="0">
    <w:nsid w:val="27C31ED9"/>
    <w:multiLevelType w:val="hybridMultilevel"/>
    <w:tmpl w:val="27A2EA8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BD4322E"/>
    <w:multiLevelType w:val="hybridMultilevel"/>
    <w:tmpl w:val="78E8FBB8"/>
    <w:lvl w:ilvl="0" w:tplc="565A3566">
      <w:start w:val="1"/>
      <w:numFmt w:val="bullet"/>
      <w:lvlText w:val="•"/>
      <w:lvlJc w:val="left"/>
      <w:pPr>
        <w:tabs>
          <w:tab w:val="num" w:pos="360"/>
        </w:tabs>
        <w:ind w:left="360" w:hanging="360"/>
      </w:pPr>
      <w:rPr>
        <w:rFonts w:ascii="Arial" w:hAnsi="Arial" w:hint="default"/>
      </w:rPr>
    </w:lvl>
    <w:lvl w:ilvl="1" w:tplc="FB0CBD52" w:tentative="1">
      <w:start w:val="1"/>
      <w:numFmt w:val="bullet"/>
      <w:lvlText w:val="•"/>
      <w:lvlJc w:val="left"/>
      <w:pPr>
        <w:tabs>
          <w:tab w:val="num" w:pos="1080"/>
        </w:tabs>
        <w:ind w:left="1080" w:hanging="360"/>
      </w:pPr>
      <w:rPr>
        <w:rFonts w:ascii="Arial" w:hAnsi="Arial" w:hint="default"/>
      </w:rPr>
    </w:lvl>
    <w:lvl w:ilvl="2" w:tplc="7896AC7C" w:tentative="1">
      <w:start w:val="1"/>
      <w:numFmt w:val="bullet"/>
      <w:lvlText w:val="•"/>
      <w:lvlJc w:val="left"/>
      <w:pPr>
        <w:tabs>
          <w:tab w:val="num" w:pos="1800"/>
        </w:tabs>
        <w:ind w:left="1800" w:hanging="360"/>
      </w:pPr>
      <w:rPr>
        <w:rFonts w:ascii="Arial" w:hAnsi="Arial" w:hint="default"/>
      </w:rPr>
    </w:lvl>
    <w:lvl w:ilvl="3" w:tplc="A614E544" w:tentative="1">
      <w:start w:val="1"/>
      <w:numFmt w:val="bullet"/>
      <w:lvlText w:val="•"/>
      <w:lvlJc w:val="left"/>
      <w:pPr>
        <w:tabs>
          <w:tab w:val="num" w:pos="2520"/>
        </w:tabs>
        <w:ind w:left="2520" w:hanging="360"/>
      </w:pPr>
      <w:rPr>
        <w:rFonts w:ascii="Arial" w:hAnsi="Arial" w:hint="default"/>
      </w:rPr>
    </w:lvl>
    <w:lvl w:ilvl="4" w:tplc="FEB40D10" w:tentative="1">
      <w:start w:val="1"/>
      <w:numFmt w:val="bullet"/>
      <w:lvlText w:val="•"/>
      <w:lvlJc w:val="left"/>
      <w:pPr>
        <w:tabs>
          <w:tab w:val="num" w:pos="3240"/>
        </w:tabs>
        <w:ind w:left="3240" w:hanging="360"/>
      </w:pPr>
      <w:rPr>
        <w:rFonts w:ascii="Arial" w:hAnsi="Arial" w:hint="default"/>
      </w:rPr>
    </w:lvl>
    <w:lvl w:ilvl="5" w:tplc="713C75E6" w:tentative="1">
      <w:start w:val="1"/>
      <w:numFmt w:val="bullet"/>
      <w:lvlText w:val="•"/>
      <w:lvlJc w:val="left"/>
      <w:pPr>
        <w:tabs>
          <w:tab w:val="num" w:pos="3960"/>
        </w:tabs>
        <w:ind w:left="3960" w:hanging="360"/>
      </w:pPr>
      <w:rPr>
        <w:rFonts w:ascii="Arial" w:hAnsi="Arial" w:hint="default"/>
      </w:rPr>
    </w:lvl>
    <w:lvl w:ilvl="6" w:tplc="769478EC" w:tentative="1">
      <w:start w:val="1"/>
      <w:numFmt w:val="bullet"/>
      <w:lvlText w:val="•"/>
      <w:lvlJc w:val="left"/>
      <w:pPr>
        <w:tabs>
          <w:tab w:val="num" w:pos="4680"/>
        </w:tabs>
        <w:ind w:left="4680" w:hanging="360"/>
      </w:pPr>
      <w:rPr>
        <w:rFonts w:ascii="Arial" w:hAnsi="Arial" w:hint="default"/>
      </w:rPr>
    </w:lvl>
    <w:lvl w:ilvl="7" w:tplc="6DEC5FA2" w:tentative="1">
      <w:start w:val="1"/>
      <w:numFmt w:val="bullet"/>
      <w:lvlText w:val="•"/>
      <w:lvlJc w:val="left"/>
      <w:pPr>
        <w:tabs>
          <w:tab w:val="num" w:pos="5400"/>
        </w:tabs>
        <w:ind w:left="5400" w:hanging="360"/>
      </w:pPr>
      <w:rPr>
        <w:rFonts w:ascii="Arial" w:hAnsi="Arial" w:hint="default"/>
      </w:rPr>
    </w:lvl>
    <w:lvl w:ilvl="8" w:tplc="4EA45CC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3D1168E9"/>
    <w:multiLevelType w:val="hybridMultilevel"/>
    <w:tmpl w:val="F4C26C28"/>
    <w:lvl w:ilvl="0" w:tplc="B07E5840">
      <w:start w:val="1"/>
      <w:numFmt w:val="bullet"/>
      <w:lvlText w:val="•"/>
      <w:lvlJc w:val="left"/>
      <w:pPr>
        <w:tabs>
          <w:tab w:val="num" w:pos="720"/>
        </w:tabs>
        <w:ind w:left="720" w:hanging="360"/>
      </w:pPr>
      <w:rPr>
        <w:rFonts w:ascii="Arial" w:hAnsi="Arial" w:hint="default"/>
      </w:rPr>
    </w:lvl>
    <w:lvl w:ilvl="1" w:tplc="138679DA">
      <w:numFmt w:val="bullet"/>
      <w:lvlText w:val="»"/>
      <w:lvlJc w:val="left"/>
      <w:pPr>
        <w:tabs>
          <w:tab w:val="num" w:pos="1440"/>
        </w:tabs>
        <w:ind w:left="1440" w:hanging="360"/>
      </w:pPr>
      <w:rPr>
        <w:rFonts w:ascii="Verdana" w:hAnsi="Verdana" w:hint="default"/>
      </w:rPr>
    </w:lvl>
    <w:lvl w:ilvl="2" w:tplc="1DD4AFFC" w:tentative="1">
      <w:start w:val="1"/>
      <w:numFmt w:val="bullet"/>
      <w:lvlText w:val="•"/>
      <w:lvlJc w:val="left"/>
      <w:pPr>
        <w:tabs>
          <w:tab w:val="num" w:pos="2160"/>
        </w:tabs>
        <w:ind w:left="2160" w:hanging="360"/>
      </w:pPr>
      <w:rPr>
        <w:rFonts w:ascii="Arial" w:hAnsi="Arial" w:hint="default"/>
      </w:rPr>
    </w:lvl>
    <w:lvl w:ilvl="3" w:tplc="F9084480" w:tentative="1">
      <w:start w:val="1"/>
      <w:numFmt w:val="bullet"/>
      <w:lvlText w:val="•"/>
      <w:lvlJc w:val="left"/>
      <w:pPr>
        <w:tabs>
          <w:tab w:val="num" w:pos="2880"/>
        </w:tabs>
        <w:ind w:left="2880" w:hanging="360"/>
      </w:pPr>
      <w:rPr>
        <w:rFonts w:ascii="Arial" w:hAnsi="Arial" w:hint="default"/>
      </w:rPr>
    </w:lvl>
    <w:lvl w:ilvl="4" w:tplc="317852C4" w:tentative="1">
      <w:start w:val="1"/>
      <w:numFmt w:val="bullet"/>
      <w:lvlText w:val="•"/>
      <w:lvlJc w:val="left"/>
      <w:pPr>
        <w:tabs>
          <w:tab w:val="num" w:pos="3600"/>
        </w:tabs>
        <w:ind w:left="3600" w:hanging="360"/>
      </w:pPr>
      <w:rPr>
        <w:rFonts w:ascii="Arial" w:hAnsi="Arial" w:hint="default"/>
      </w:rPr>
    </w:lvl>
    <w:lvl w:ilvl="5" w:tplc="7C58A3DA" w:tentative="1">
      <w:start w:val="1"/>
      <w:numFmt w:val="bullet"/>
      <w:lvlText w:val="•"/>
      <w:lvlJc w:val="left"/>
      <w:pPr>
        <w:tabs>
          <w:tab w:val="num" w:pos="4320"/>
        </w:tabs>
        <w:ind w:left="4320" w:hanging="360"/>
      </w:pPr>
      <w:rPr>
        <w:rFonts w:ascii="Arial" w:hAnsi="Arial" w:hint="default"/>
      </w:rPr>
    </w:lvl>
    <w:lvl w:ilvl="6" w:tplc="75C230A0" w:tentative="1">
      <w:start w:val="1"/>
      <w:numFmt w:val="bullet"/>
      <w:lvlText w:val="•"/>
      <w:lvlJc w:val="left"/>
      <w:pPr>
        <w:tabs>
          <w:tab w:val="num" w:pos="5040"/>
        </w:tabs>
        <w:ind w:left="5040" w:hanging="360"/>
      </w:pPr>
      <w:rPr>
        <w:rFonts w:ascii="Arial" w:hAnsi="Arial" w:hint="default"/>
      </w:rPr>
    </w:lvl>
    <w:lvl w:ilvl="7" w:tplc="B08C6D18" w:tentative="1">
      <w:start w:val="1"/>
      <w:numFmt w:val="bullet"/>
      <w:lvlText w:val="•"/>
      <w:lvlJc w:val="left"/>
      <w:pPr>
        <w:tabs>
          <w:tab w:val="num" w:pos="5760"/>
        </w:tabs>
        <w:ind w:left="5760" w:hanging="360"/>
      </w:pPr>
      <w:rPr>
        <w:rFonts w:ascii="Arial" w:hAnsi="Arial" w:hint="default"/>
      </w:rPr>
    </w:lvl>
    <w:lvl w:ilvl="8" w:tplc="B80E8F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45796E"/>
    <w:multiLevelType w:val="hybridMultilevel"/>
    <w:tmpl w:val="8BC8E112"/>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8" w15:restartNumberingAfterBreak="0">
    <w:nsid w:val="4FD867E9"/>
    <w:multiLevelType w:val="hybridMultilevel"/>
    <w:tmpl w:val="C05C36D4"/>
    <w:lvl w:ilvl="0" w:tplc="368E52B8">
      <w:numFmt w:val="bullet"/>
      <w:lvlText w:val="-"/>
      <w:lvlJc w:val="left"/>
      <w:pPr>
        <w:ind w:left="1660" w:hanging="360"/>
      </w:pPr>
      <w:rPr>
        <w:rFonts w:ascii="Verdana" w:eastAsiaTheme="minorHAnsi" w:hAnsi="Verdana" w:cstheme="minorHAnsi"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9"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FAF7470"/>
    <w:multiLevelType w:val="hybridMultilevel"/>
    <w:tmpl w:val="95C648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2173DE0"/>
    <w:multiLevelType w:val="multilevel"/>
    <w:tmpl w:val="895622CA"/>
    <w:numStyleLink w:val="Otsikkonumerointi"/>
  </w:abstractNum>
  <w:abstractNum w:abstractNumId="13" w15:restartNumberingAfterBreak="0">
    <w:nsid w:val="7D7830C4"/>
    <w:multiLevelType w:val="hybridMultilevel"/>
    <w:tmpl w:val="3DCAC938"/>
    <w:lvl w:ilvl="0" w:tplc="2780DFEE">
      <w:start w:val="1"/>
      <w:numFmt w:val="bullet"/>
      <w:lvlText w:val="•"/>
      <w:lvlJc w:val="left"/>
      <w:pPr>
        <w:tabs>
          <w:tab w:val="num" w:pos="720"/>
        </w:tabs>
        <w:ind w:left="720" w:hanging="360"/>
      </w:pPr>
      <w:rPr>
        <w:rFonts w:ascii="Arial" w:hAnsi="Arial" w:hint="default"/>
      </w:rPr>
    </w:lvl>
    <w:lvl w:ilvl="1" w:tplc="71483C82" w:tentative="1">
      <w:start w:val="1"/>
      <w:numFmt w:val="bullet"/>
      <w:lvlText w:val="•"/>
      <w:lvlJc w:val="left"/>
      <w:pPr>
        <w:tabs>
          <w:tab w:val="num" w:pos="1440"/>
        </w:tabs>
        <w:ind w:left="1440" w:hanging="360"/>
      </w:pPr>
      <w:rPr>
        <w:rFonts w:ascii="Arial" w:hAnsi="Arial" w:hint="default"/>
      </w:rPr>
    </w:lvl>
    <w:lvl w:ilvl="2" w:tplc="C9AA2DC2" w:tentative="1">
      <w:start w:val="1"/>
      <w:numFmt w:val="bullet"/>
      <w:lvlText w:val="•"/>
      <w:lvlJc w:val="left"/>
      <w:pPr>
        <w:tabs>
          <w:tab w:val="num" w:pos="2160"/>
        </w:tabs>
        <w:ind w:left="2160" w:hanging="360"/>
      </w:pPr>
      <w:rPr>
        <w:rFonts w:ascii="Arial" w:hAnsi="Arial" w:hint="default"/>
      </w:rPr>
    </w:lvl>
    <w:lvl w:ilvl="3" w:tplc="B9F6BE5C" w:tentative="1">
      <w:start w:val="1"/>
      <w:numFmt w:val="bullet"/>
      <w:lvlText w:val="•"/>
      <w:lvlJc w:val="left"/>
      <w:pPr>
        <w:tabs>
          <w:tab w:val="num" w:pos="2880"/>
        </w:tabs>
        <w:ind w:left="2880" w:hanging="360"/>
      </w:pPr>
      <w:rPr>
        <w:rFonts w:ascii="Arial" w:hAnsi="Arial" w:hint="default"/>
      </w:rPr>
    </w:lvl>
    <w:lvl w:ilvl="4" w:tplc="52945CAC" w:tentative="1">
      <w:start w:val="1"/>
      <w:numFmt w:val="bullet"/>
      <w:lvlText w:val="•"/>
      <w:lvlJc w:val="left"/>
      <w:pPr>
        <w:tabs>
          <w:tab w:val="num" w:pos="3600"/>
        </w:tabs>
        <w:ind w:left="3600" w:hanging="360"/>
      </w:pPr>
      <w:rPr>
        <w:rFonts w:ascii="Arial" w:hAnsi="Arial" w:hint="default"/>
      </w:rPr>
    </w:lvl>
    <w:lvl w:ilvl="5" w:tplc="9DC2897C" w:tentative="1">
      <w:start w:val="1"/>
      <w:numFmt w:val="bullet"/>
      <w:lvlText w:val="•"/>
      <w:lvlJc w:val="left"/>
      <w:pPr>
        <w:tabs>
          <w:tab w:val="num" w:pos="4320"/>
        </w:tabs>
        <w:ind w:left="4320" w:hanging="360"/>
      </w:pPr>
      <w:rPr>
        <w:rFonts w:ascii="Arial" w:hAnsi="Arial" w:hint="default"/>
      </w:rPr>
    </w:lvl>
    <w:lvl w:ilvl="6" w:tplc="BEA41076" w:tentative="1">
      <w:start w:val="1"/>
      <w:numFmt w:val="bullet"/>
      <w:lvlText w:val="•"/>
      <w:lvlJc w:val="left"/>
      <w:pPr>
        <w:tabs>
          <w:tab w:val="num" w:pos="5040"/>
        </w:tabs>
        <w:ind w:left="5040" w:hanging="360"/>
      </w:pPr>
      <w:rPr>
        <w:rFonts w:ascii="Arial" w:hAnsi="Arial" w:hint="default"/>
      </w:rPr>
    </w:lvl>
    <w:lvl w:ilvl="7" w:tplc="F8A8E588" w:tentative="1">
      <w:start w:val="1"/>
      <w:numFmt w:val="bullet"/>
      <w:lvlText w:val="•"/>
      <w:lvlJc w:val="left"/>
      <w:pPr>
        <w:tabs>
          <w:tab w:val="num" w:pos="5760"/>
        </w:tabs>
        <w:ind w:left="5760" w:hanging="360"/>
      </w:pPr>
      <w:rPr>
        <w:rFonts w:ascii="Arial" w:hAnsi="Arial" w:hint="default"/>
      </w:rPr>
    </w:lvl>
    <w:lvl w:ilvl="8" w:tplc="1AAA433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5"/>
  </w:num>
  <w:num w:numId="4">
    <w:abstractNumId w:val="9"/>
  </w:num>
  <w:num w:numId="5">
    <w:abstractNumId w:val="2"/>
  </w:num>
  <w:num w:numId="6">
    <w:abstractNumId w:val="12"/>
  </w:num>
  <w:num w:numId="7">
    <w:abstractNumId w:val="5"/>
  </w:num>
  <w:num w:numId="8">
    <w:abstractNumId w:val="9"/>
  </w:num>
  <w:num w:numId="9">
    <w:abstractNumId w:val="7"/>
  </w:num>
  <w:num w:numId="10">
    <w:abstractNumId w:val="6"/>
  </w:num>
  <w:num w:numId="11">
    <w:abstractNumId w:val="4"/>
  </w:num>
  <w:num w:numId="12">
    <w:abstractNumId w:val="13"/>
  </w:num>
  <w:num w:numId="13">
    <w:abstractNumId w:val="11"/>
  </w:num>
  <w:num w:numId="14">
    <w:abstractNumId w:val="1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CB"/>
    <w:rsid w:val="00014DFA"/>
    <w:rsid w:val="0002579F"/>
    <w:rsid w:val="00026013"/>
    <w:rsid w:val="000475F7"/>
    <w:rsid w:val="00051732"/>
    <w:rsid w:val="000569A9"/>
    <w:rsid w:val="00057BBF"/>
    <w:rsid w:val="000747FE"/>
    <w:rsid w:val="00075AB1"/>
    <w:rsid w:val="000762B7"/>
    <w:rsid w:val="00080C35"/>
    <w:rsid w:val="00081FB8"/>
    <w:rsid w:val="0009284A"/>
    <w:rsid w:val="00093C4F"/>
    <w:rsid w:val="000D189B"/>
    <w:rsid w:val="000E252D"/>
    <w:rsid w:val="000E37B5"/>
    <w:rsid w:val="000F204E"/>
    <w:rsid w:val="000F3EAA"/>
    <w:rsid w:val="000F6045"/>
    <w:rsid w:val="000F7309"/>
    <w:rsid w:val="00106172"/>
    <w:rsid w:val="00111E57"/>
    <w:rsid w:val="00127316"/>
    <w:rsid w:val="00132D1B"/>
    <w:rsid w:val="00152872"/>
    <w:rsid w:val="00165FFE"/>
    <w:rsid w:val="0016626D"/>
    <w:rsid w:val="00173E2C"/>
    <w:rsid w:val="00180285"/>
    <w:rsid w:val="001A03B9"/>
    <w:rsid w:val="001A1055"/>
    <w:rsid w:val="001A7EE8"/>
    <w:rsid w:val="001B156C"/>
    <w:rsid w:val="001B38AE"/>
    <w:rsid w:val="001D1B95"/>
    <w:rsid w:val="001D2396"/>
    <w:rsid w:val="001D4B02"/>
    <w:rsid w:val="001D5BA7"/>
    <w:rsid w:val="001F346B"/>
    <w:rsid w:val="001F48CF"/>
    <w:rsid w:val="001F69B9"/>
    <w:rsid w:val="0021071E"/>
    <w:rsid w:val="00215EE1"/>
    <w:rsid w:val="002172FF"/>
    <w:rsid w:val="002233A8"/>
    <w:rsid w:val="00225104"/>
    <w:rsid w:val="00231F70"/>
    <w:rsid w:val="00232E81"/>
    <w:rsid w:val="00235A2E"/>
    <w:rsid w:val="00242C4E"/>
    <w:rsid w:val="00251349"/>
    <w:rsid w:val="002564B8"/>
    <w:rsid w:val="00263C02"/>
    <w:rsid w:val="00277DEB"/>
    <w:rsid w:val="002851CB"/>
    <w:rsid w:val="002A4757"/>
    <w:rsid w:val="002B73A9"/>
    <w:rsid w:val="002B7DCF"/>
    <w:rsid w:val="002D1EC4"/>
    <w:rsid w:val="002D29D4"/>
    <w:rsid w:val="002E2E19"/>
    <w:rsid w:val="002F52E8"/>
    <w:rsid w:val="002F6D1C"/>
    <w:rsid w:val="003014B2"/>
    <w:rsid w:val="003016AB"/>
    <w:rsid w:val="00331DDC"/>
    <w:rsid w:val="00340CB4"/>
    <w:rsid w:val="00365BBD"/>
    <w:rsid w:val="003818F2"/>
    <w:rsid w:val="00383F81"/>
    <w:rsid w:val="003A1ED3"/>
    <w:rsid w:val="003A31A9"/>
    <w:rsid w:val="003B4CA9"/>
    <w:rsid w:val="003C5BA2"/>
    <w:rsid w:val="003D0071"/>
    <w:rsid w:val="003D3AAE"/>
    <w:rsid w:val="003E0013"/>
    <w:rsid w:val="003E68E8"/>
    <w:rsid w:val="003F47FB"/>
    <w:rsid w:val="003F52E0"/>
    <w:rsid w:val="00403F7E"/>
    <w:rsid w:val="00405D17"/>
    <w:rsid w:val="00432958"/>
    <w:rsid w:val="00435FAC"/>
    <w:rsid w:val="00453A0A"/>
    <w:rsid w:val="00457F51"/>
    <w:rsid w:val="00462FB3"/>
    <w:rsid w:val="00474A73"/>
    <w:rsid w:val="00493B4E"/>
    <w:rsid w:val="004967B0"/>
    <w:rsid w:val="00497369"/>
    <w:rsid w:val="004A071B"/>
    <w:rsid w:val="004A2040"/>
    <w:rsid w:val="004A3F02"/>
    <w:rsid w:val="004B15B1"/>
    <w:rsid w:val="004B32FC"/>
    <w:rsid w:val="004B4537"/>
    <w:rsid w:val="004C3183"/>
    <w:rsid w:val="004C3CCB"/>
    <w:rsid w:val="004C4858"/>
    <w:rsid w:val="004D798E"/>
    <w:rsid w:val="004E0437"/>
    <w:rsid w:val="004F49BE"/>
    <w:rsid w:val="00505E0C"/>
    <w:rsid w:val="005064A0"/>
    <w:rsid w:val="005118FD"/>
    <w:rsid w:val="0053056A"/>
    <w:rsid w:val="00534A33"/>
    <w:rsid w:val="005406C4"/>
    <w:rsid w:val="00542F96"/>
    <w:rsid w:val="005505EE"/>
    <w:rsid w:val="00553465"/>
    <w:rsid w:val="00585807"/>
    <w:rsid w:val="00595776"/>
    <w:rsid w:val="005A2885"/>
    <w:rsid w:val="005A6E2B"/>
    <w:rsid w:val="005B325D"/>
    <w:rsid w:val="005B6095"/>
    <w:rsid w:val="005B63FA"/>
    <w:rsid w:val="005C2C0C"/>
    <w:rsid w:val="005D6550"/>
    <w:rsid w:val="005E2DC6"/>
    <w:rsid w:val="005F403D"/>
    <w:rsid w:val="005F40CC"/>
    <w:rsid w:val="005F46F7"/>
    <w:rsid w:val="00605138"/>
    <w:rsid w:val="00607649"/>
    <w:rsid w:val="0061474F"/>
    <w:rsid w:val="00625BA8"/>
    <w:rsid w:val="0062737B"/>
    <w:rsid w:val="00640DEC"/>
    <w:rsid w:val="00653AC6"/>
    <w:rsid w:val="006635A4"/>
    <w:rsid w:val="006636F6"/>
    <w:rsid w:val="00673111"/>
    <w:rsid w:val="00687039"/>
    <w:rsid w:val="00693A4A"/>
    <w:rsid w:val="006952B3"/>
    <w:rsid w:val="0069594F"/>
    <w:rsid w:val="006B35CD"/>
    <w:rsid w:val="006B43B0"/>
    <w:rsid w:val="006C25CF"/>
    <w:rsid w:val="006C519A"/>
    <w:rsid w:val="006C702C"/>
    <w:rsid w:val="006E677E"/>
    <w:rsid w:val="00704830"/>
    <w:rsid w:val="00711946"/>
    <w:rsid w:val="00711D67"/>
    <w:rsid w:val="00726464"/>
    <w:rsid w:val="00734CE0"/>
    <w:rsid w:val="0074395F"/>
    <w:rsid w:val="007448E6"/>
    <w:rsid w:val="00752664"/>
    <w:rsid w:val="00756BFE"/>
    <w:rsid w:val="00760EF8"/>
    <w:rsid w:val="00766ED3"/>
    <w:rsid w:val="00767518"/>
    <w:rsid w:val="00792D5B"/>
    <w:rsid w:val="00794F38"/>
    <w:rsid w:val="007A0939"/>
    <w:rsid w:val="007A0E56"/>
    <w:rsid w:val="007A2E78"/>
    <w:rsid w:val="007A4B4B"/>
    <w:rsid w:val="007A4F13"/>
    <w:rsid w:val="007C2558"/>
    <w:rsid w:val="007C5AF1"/>
    <w:rsid w:val="007E0708"/>
    <w:rsid w:val="008311CC"/>
    <w:rsid w:val="008439DC"/>
    <w:rsid w:val="00870929"/>
    <w:rsid w:val="00870BA8"/>
    <w:rsid w:val="00873DDA"/>
    <w:rsid w:val="00884976"/>
    <w:rsid w:val="00887E54"/>
    <w:rsid w:val="00892BD2"/>
    <w:rsid w:val="008A19B6"/>
    <w:rsid w:val="008A579E"/>
    <w:rsid w:val="008A70E9"/>
    <w:rsid w:val="008A7D4E"/>
    <w:rsid w:val="008B3B47"/>
    <w:rsid w:val="008B7736"/>
    <w:rsid w:val="008C157B"/>
    <w:rsid w:val="008C5D59"/>
    <w:rsid w:val="008D0A3B"/>
    <w:rsid w:val="008D5A6C"/>
    <w:rsid w:val="008D6585"/>
    <w:rsid w:val="008E3211"/>
    <w:rsid w:val="008E7DA4"/>
    <w:rsid w:val="008E7E27"/>
    <w:rsid w:val="008F7F62"/>
    <w:rsid w:val="00903FF9"/>
    <w:rsid w:val="00906EE6"/>
    <w:rsid w:val="009076D4"/>
    <w:rsid w:val="00910423"/>
    <w:rsid w:val="00910CB1"/>
    <w:rsid w:val="00920CC0"/>
    <w:rsid w:val="009348D7"/>
    <w:rsid w:val="00946E2E"/>
    <w:rsid w:val="00951C28"/>
    <w:rsid w:val="00967146"/>
    <w:rsid w:val="00967FD5"/>
    <w:rsid w:val="00970887"/>
    <w:rsid w:val="0097537A"/>
    <w:rsid w:val="00983278"/>
    <w:rsid w:val="00984BBC"/>
    <w:rsid w:val="00985071"/>
    <w:rsid w:val="00987713"/>
    <w:rsid w:val="0099473E"/>
    <w:rsid w:val="0099651A"/>
    <w:rsid w:val="00997001"/>
    <w:rsid w:val="009A7E39"/>
    <w:rsid w:val="009B100F"/>
    <w:rsid w:val="009C0E4A"/>
    <w:rsid w:val="009C468A"/>
    <w:rsid w:val="009D0DB2"/>
    <w:rsid w:val="009E46A1"/>
    <w:rsid w:val="009F6656"/>
    <w:rsid w:val="00A00CB0"/>
    <w:rsid w:val="00A17AA6"/>
    <w:rsid w:val="00A254FC"/>
    <w:rsid w:val="00A257A0"/>
    <w:rsid w:val="00A33E1B"/>
    <w:rsid w:val="00A466AF"/>
    <w:rsid w:val="00A53DE7"/>
    <w:rsid w:val="00A63207"/>
    <w:rsid w:val="00A770C6"/>
    <w:rsid w:val="00A93682"/>
    <w:rsid w:val="00AA25F7"/>
    <w:rsid w:val="00AA6698"/>
    <w:rsid w:val="00AC2C6B"/>
    <w:rsid w:val="00AC610D"/>
    <w:rsid w:val="00B05FF9"/>
    <w:rsid w:val="00B10EE3"/>
    <w:rsid w:val="00B15BB8"/>
    <w:rsid w:val="00B17472"/>
    <w:rsid w:val="00B31285"/>
    <w:rsid w:val="00B32088"/>
    <w:rsid w:val="00B32D82"/>
    <w:rsid w:val="00B33020"/>
    <w:rsid w:val="00B4237B"/>
    <w:rsid w:val="00B46A56"/>
    <w:rsid w:val="00B53443"/>
    <w:rsid w:val="00B53E1A"/>
    <w:rsid w:val="00B554D9"/>
    <w:rsid w:val="00B645E2"/>
    <w:rsid w:val="00B66FC7"/>
    <w:rsid w:val="00B675B3"/>
    <w:rsid w:val="00B67B8C"/>
    <w:rsid w:val="00B754D3"/>
    <w:rsid w:val="00BA23EE"/>
    <w:rsid w:val="00BA2663"/>
    <w:rsid w:val="00BB7D2F"/>
    <w:rsid w:val="00BC1DA9"/>
    <w:rsid w:val="00BD0BD6"/>
    <w:rsid w:val="00BD27EC"/>
    <w:rsid w:val="00BE4E63"/>
    <w:rsid w:val="00BE7BCF"/>
    <w:rsid w:val="00BF4232"/>
    <w:rsid w:val="00C242E7"/>
    <w:rsid w:val="00C252FA"/>
    <w:rsid w:val="00C321B4"/>
    <w:rsid w:val="00C658E4"/>
    <w:rsid w:val="00C77468"/>
    <w:rsid w:val="00C82CC1"/>
    <w:rsid w:val="00C87576"/>
    <w:rsid w:val="00C93C69"/>
    <w:rsid w:val="00C9445F"/>
    <w:rsid w:val="00CC1445"/>
    <w:rsid w:val="00CC2EC9"/>
    <w:rsid w:val="00CD6813"/>
    <w:rsid w:val="00CE6DD2"/>
    <w:rsid w:val="00CF438D"/>
    <w:rsid w:val="00CF54FC"/>
    <w:rsid w:val="00CF7038"/>
    <w:rsid w:val="00D15AD1"/>
    <w:rsid w:val="00D2088E"/>
    <w:rsid w:val="00D30B21"/>
    <w:rsid w:val="00D453F8"/>
    <w:rsid w:val="00D63BFE"/>
    <w:rsid w:val="00D6734E"/>
    <w:rsid w:val="00D7752E"/>
    <w:rsid w:val="00D82281"/>
    <w:rsid w:val="00D827B0"/>
    <w:rsid w:val="00D85D21"/>
    <w:rsid w:val="00D9028E"/>
    <w:rsid w:val="00D9280E"/>
    <w:rsid w:val="00D93239"/>
    <w:rsid w:val="00D9380E"/>
    <w:rsid w:val="00DB48B6"/>
    <w:rsid w:val="00DC064E"/>
    <w:rsid w:val="00DC171D"/>
    <w:rsid w:val="00DD0E94"/>
    <w:rsid w:val="00DE0309"/>
    <w:rsid w:val="00DE1EBC"/>
    <w:rsid w:val="00DE5CB6"/>
    <w:rsid w:val="00DF552C"/>
    <w:rsid w:val="00DF6E86"/>
    <w:rsid w:val="00DF7942"/>
    <w:rsid w:val="00DF7C3C"/>
    <w:rsid w:val="00E02A00"/>
    <w:rsid w:val="00E02EAB"/>
    <w:rsid w:val="00E15EE7"/>
    <w:rsid w:val="00E177C8"/>
    <w:rsid w:val="00E24624"/>
    <w:rsid w:val="00E36334"/>
    <w:rsid w:val="00E4137C"/>
    <w:rsid w:val="00E448D8"/>
    <w:rsid w:val="00E45D7A"/>
    <w:rsid w:val="00E65D18"/>
    <w:rsid w:val="00E837C2"/>
    <w:rsid w:val="00E915FA"/>
    <w:rsid w:val="00E91F59"/>
    <w:rsid w:val="00E93B24"/>
    <w:rsid w:val="00EC2E3A"/>
    <w:rsid w:val="00EC5FEC"/>
    <w:rsid w:val="00EC7A6E"/>
    <w:rsid w:val="00EC7DA4"/>
    <w:rsid w:val="00ED2F1B"/>
    <w:rsid w:val="00EE404E"/>
    <w:rsid w:val="00EF1C52"/>
    <w:rsid w:val="00EF62F7"/>
    <w:rsid w:val="00F0073B"/>
    <w:rsid w:val="00F038A9"/>
    <w:rsid w:val="00F17F71"/>
    <w:rsid w:val="00F27402"/>
    <w:rsid w:val="00F42D13"/>
    <w:rsid w:val="00F50159"/>
    <w:rsid w:val="00F5116D"/>
    <w:rsid w:val="00F646B7"/>
    <w:rsid w:val="00FA3239"/>
    <w:rsid w:val="00FC3421"/>
    <w:rsid w:val="00FD4EE7"/>
    <w:rsid w:val="00FE0CDF"/>
    <w:rsid w:val="00FF3293"/>
    <w:rsid w:val="00FF36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8F9C02"/>
  <w15:docId w15:val="{0ECE2986-3146-47CF-BCB0-46491B5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CE6DD2"/>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CE6DD2"/>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F038A9"/>
    <w:rPr>
      <w:color w:val="7F7F7F"/>
      <w:sz w:val="14"/>
    </w:rPr>
  </w:style>
  <w:style w:type="character" w:customStyle="1" w:styleId="AlatunnisteChar">
    <w:name w:val="Alatunniste Char"/>
    <w:basedOn w:val="Kappaleenoletusfontti"/>
    <w:link w:val="Alatunniste"/>
    <w:uiPriority w:val="99"/>
    <w:rsid w:val="00F038A9"/>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paragraph" w:styleId="Luettelokappale">
    <w:name w:val="List Paragraph"/>
    <w:basedOn w:val="Normaali"/>
    <w:uiPriority w:val="34"/>
    <w:qFormat/>
    <w:rsid w:val="008C5D59"/>
    <w:pPr>
      <w:ind w:left="720"/>
      <w:contextualSpacing/>
    </w:pPr>
  </w:style>
  <w:style w:type="paragraph" w:customStyle="1" w:styleId="VMAsiakohta">
    <w:name w:val="VM_Asiakohta"/>
    <w:basedOn w:val="Normaali"/>
    <w:next w:val="Normaali"/>
    <w:rsid w:val="00057BBF"/>
    <w:pPr>
      <w:numPr>
        <w:numId w:val="14"/>
      </w:numPr>
      <w:spacing w:before="240" w:after="240"/>
    </w:pPr>
    <w:rPr>
      <w:rFonts w:ascii="Times New Roman" w:eastAsia="Times New Roman" w:hAnsi="Times New Roman" w:cs="Times New Roman"/>
      <w:sz w:val="24"/>
      <w:szCs w:val="20"/>
      <w:lang w:eastAsia="fi-FI"/>
    </w:rPr>
  </w:style>
  <w:style w:type="paragraph" w:customStyle="1" w:styleId="Default">
    <w:name w:val="Default"/>
    <w:rsid w:val="00FF36EA"/>
    <w:pPr>
      <w:autoSpaceDE w:val="0"/>
      <w:autoSpaceDN w:val="0"/>
      <w:adjustRightInd w:val="0"/>
    </w:pPr>
    <w:rPr>
      <w:rFonts w:ascii="Times New Roman" w:hAnsi="Times New Roman" w:cs="Times New Roman"/>
      <w:color w:val="000000"/>
      <w:sz w:val="24"/>
      <w:szCs w:val="24"/>
    </w:rPr>
  </w:style>
  <w:style w:type="paragraph" w:styleId="Vaintekstin">
    <w:name w:val="Plain Text"/>
    <w:basedOn w:val="Normaali"/>
    <w:link w:val="VaintekstinChar"/>
    <w:uiPriority w:val="99"/>
    <w:semiHidden/>
    <w:unhideWhenUsed/>
    <w:rsid w:val="0061474F"/>
    <w:rPr>
      <w:rFonts w:ascii="Calibri" w:hAnsi="Calibri" w:cs="Calibri"/>
      <w:sz w:val="22"/>
      <w:szCs w:val="22"/>
    </w:rPr>
  </w:style>
  <w:style w:type="character" w:customStyle="1" w:styleId="VaintekstinChar">
    <w:name w:val="Vain tekstinä Char"/>
    <w:basedOn w:val="Kappaleenoletusfontti"/>
    <w:link w:val="Vaintekstin"/>
    <w:uiPriority w:val="99"/>
    <w:semiHidden/>
    <w:rsid w:val="0061474F"/>
    <w:rPr>
      <w:rFonts w:ascii="Calibri" w:hAnsi="Calibri" w:cs="Calibri"/>
      <w:sz w:val="22"/>
      <w:szCs w:val="22"/>
    </w:rPr>
  </w:style>
  <w:style w:type="character" w:styleId="Voimakas">
    <w:name w:val="Strong"/>
    <w:basedOn w:val="Kappaleenoletusfontti"/>
    <w:uiPriority w:val="22"/>
    <w:qFormat/>
    <w:rsid w:val="00614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08208">
      <w:bodyDiv w:val="1"/>
      <w:marLeft w:val="0"/>
      <w:marRight w:val="0"/>
      <w:marTop w:val="0"/>
      <w:marBottom w:val="0"/>
      <w:divBdr>
        <w:top w:val="none" w:sz="0" w:space="0" w:color="auto"/>
        <w:left w:val="none" w:sz="0" w:space="0" w:color="auto"/>
        <w:bottom w:val="none" w:sz="0" w:space="0" w:color="auto"/>
        <w:right w:val="none" w:sz="0" w:space="0" w:color="auto"/>
      </w:divBdr>
    </w:div>
    <w:div w:id="1239704016">
      <w:bodyDiv w:val="1"/>
      <w:marLeft w:val="0"/>
      <w:marRight w:val="0"/>
      <w:marTop w:val="0"/>
      <w:marBottom w:val="0"/>
      <w:divBdr>
        <w:top w:val="none" w:sz="0" w:space="0" w:color="auto"/>
        <w:left w:val="none" w:sz="0" w:space="0" w:color="auto"/>
        <w:bottom w:val="none" w:sz="0" w:space="0" w:color="auto"/>
        <w:right w:val="none" w:sz="0" w:space="0" w:color="auto"/>
      </w:divBdr>
    </w:div>
    <w:div w:id="1419641063">
      <w:bodyDiv w:val="1"/>
      <w:marLeft w:val="0"/>
      <w:marRight w:val="0"/>
      <w:marTop w:val="0"/>
      <w:marBottom w:val="0"/>
      <w:divBdr>
        <w:top w:val="none" w:sz="0" w:space="0" w:color="auto"/>
        <w:left w:val="none" w:sz="0" w:space="0" w:color="auto"/>
        <w:bottom w:val="none" w:sz="0" w:space="0" w:color="auto"/>
        <w:right w:val="none" w:sz="0" w:space="0" w:color="auto"/>
      </w:divBdr>
      <w:divsChild>
        <w:div w:id="955253829">
          <w:marLeft w:val="547"/>
          <w:marRight w:val="0"/>
          <w:marTop w:val="72"/>
          <w:marBottom w:val="0"/>
          <w:divBdr>
            <w:top w:val="none" w:sz="0" w:space="0" w:color="auto"/>
            <w:left w:val="none" w:sz="0" w:space="0" w:color="auto"/>
            <w:bottom w:val="none" w:sz="0" w:space="0" w:color="auto"/>
            <w:right w:val="none" w:sz="0" w:space="0" w:color="auto"/>
          </w:divBdr>
        </w:div>
      </w:divsChild>
    </w:div>
    <w:div w:id="1599563289">
      <w:bodyDiv w:val="1"/>
      <w:marLeft w:val="0"/>
      <w:marRight w:val="0"/>
      <w:marTop w:val="0"/>
      <w:marBottom w:val="0"/>
      <w:divBdr>
        <w:top w:val="none" w:sz="0" w:space="0" w:color="auto"/>
        <w:left w:val="none" w:sz="0" w:space="0" w:color="auto"/>
        <w:bottom w:val="none" w:sz="0" w:space="0" w:color="auto"/>
        <w:right w:val="none" w:sz="0" w:space="0" w:color="auto"/>
      </w:divBdr>
      <w:divsChild>
        <w:div w:id="1460805013">
          <w:marLeft w:val="547"/>
          <w:marRight w:val="0"/>
          <w:marTop w:val="53"/>
          <w:marBottom w:val="0"/>
          <w:divBdr>
            <w:top w:val="none" w:sz="0" w:space="0" w:color="auto"/>
            <w:left w:val="none" w:sz="0" w:space="0" w:color="auto"/>
            <w:bottom w:val="none" w:sz="0" w:space="0" w:color="auto"/>
            <w:right w:val="none" w:sz="0" w:space="0" w:color="auto"/>
          </w:divBdr>
        </w:div>
      </w:divsChild>
    </w:div>
    <w:div w:id="1735002358">
      <w:bodyDiv w:val="1"/>
      <w:marLeft w:val="0"/>
      <w:marRight w:val="0"/>
      <w:marTop w:val="0"/>
      <w:marBottom w:val="0"/>
      <w:divBdr>
        <w:top w:val="none" w:sz="0" w:space="0" w:color="auto"/>
        <w:left w:val="none" w:sz="0" w:space="0" w:color="auto"/>
        <w:bottom w:val="none" w:sz="0" w:space="0" w:color="auto"/>
        <w:right w:val="none" w:sz="0" w:space="0" w:color="auto"/>
      </w:divBdr>
    </w:div>
    <w:div w:id="1760831213">
      <w:bodyDiv w:val="1"/>
      <w:marLeft w:val="0"/>
      <w:marRight w:val="0"/>
      <w:marTop w:val="0"/>
      <w:marBottom w:val="0"/>
      <w:divBdr>
        <w:top w:val="none" w:sz="0" w:space="0" w:color="auto"/>
        <w:left w:val="none" w:sz="0" w:space="0" w:color="auto"/>
        <w:bottom w:val="none" w:sz="0" w:space="0" w:color="auto"/>
        <w:right w:val="none" w:sz="0" w:space="0" w:color="auto"/>
      </w:divBdr>
    </w:div>
    <w:div w:id="1859199407">
      <w:bodyDiv w:val="1"/>
      <w:marLeft w:val="0"/>
      <w:marRight w:val="0"/>
      <w:marTop w:val="0"/>
      <w:marBottom w:val="0"/>
      <w:divBdr>
        <w:top w:val="none" w:sz="0" w:space="0" w:color="auto"/>
        <w:left w:val="none" w:sz="0" w:space="0" w:color="auto"/>
        <w:bottom w:val="none" w:sz="0" w:space="0" w:color="auto"/>
        <w:right w:val="none" w:sz="0" w:space="0" w:color="auto"/>
      </w:divBdr>
      <w:divsChild>
        <w:div w:id="1126041003">
          <w:marLeft w:val="547"/>
          <w:marRight w:val="0"/>
          <w:marTop w:val="58"/>
          <w:marBottom w:val="0"/>
          <w:divBdr>
            <w:top w:val="none" w:sz="0" w:space="0" w:color="auto"/>
            <w:left w:val="none" w:sz="0" w:space="0" w:color="auto"/>
            <w:bottom w:val="none" w:sz="0" w:space="0" w:color="auto"/>
            <w:right w:val="none" w:sz="0" w:space="0" w:color="auto"/>
          </w:divBdr>
        </w:div>
        <w:div w:id="1316302804">
          <w:marLeft w:val="1166"/>
          <w:marRight w:val="0"/>
          <w:marTop w:val="58"/>
          <w:marBottom w:val="0"/>
          <w:divBdr>
            <w:top w:val="none" w:sz="0" w:space="0" w:color="auto"/>
            <w:left w:val="none" w:sz="0" w:space="0" w:color="auto"/>
            <w:bottom w:val="none" w:sz="0" w:space="0" w:color="auto"/>
            <w:right w:val="none" w:sz="0" w:space="0" w:color="auto"/>
          </w:divBdr>
        </w:div>
        <w:div w:id="294025606">
          <w:marLeft w:val="547"/>
          <w:marRight w:val="0"/>
          <w:marTop w:val="58"/>
          <w:marBottom w:val="0"/>
          <w:divBdr>
            <w:top w:val="none" w:sz="0" w:space="0" w:color="auto"/>
            <w:left w:val="none" w:sz="0" w:space="0" w:color="auto"/>
            <w:bottom w:val="none" w:sz="0" w:space="0" w:color="auto"/>
            <w:right w:val="none" w:sz="0" w:space="0" w:color="auto"/>
          </w:divBdr>
        </w:div>
        <w:div w:id="973682248">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onar\AppData\Roaming\Microsoft\Templates\Kuntaliitto\Kirje,%20ei%20nauhoja.dotx" TargetMode="External"/></Relationship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58E9-5064-4857-B985-C78A267D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 ei nauhoja.dotx</Template>
  <TotalTime>1</TotalTime>
  <Pages>6</Pages>
  <Words>2617</Words>
  <Characters>21204</Characters>
  <Application>Microsoft Office Word</Application>
  <DocSecurity>4</DocSecurity>
  <Lines>176</Lines>
  <Paragraphs>47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Taloudellisten vaikutusten ja rahoituksen näkökulma sekä uudistukseen liittyvät keskeiset haasteet ja riskit:</vt:lpstr>
      <vt:lpstr/>
    </vt:vector>
  </TitlesOfParts>
  <Company>Kuntaliitto</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Taloudellisten vaikutusten ja rahoituksen näkökulma sekä uudistukseen liittyvät keskeiset haasteet ja riskit:</dc:title>
  <dc:creator>Sulonen Arto</dc:creator>
  <cp:lastModifiedBy>Palmu Päivi</cp:lastModifiedBy>
  <cp:revision>2</cp:revision>
  <cp:lastPrinted>2018-07-02T10:58:00Z</cp:lastPrinted>
  <dcterms:created xsi:type="dcterms:W3CDTF">2018-07-02T10:59:00Z</dcterms:created>
  <dcterms:modified xsi:type="dcterms:W3CDTF">2018-07-02T10:59:00Z</dcterms:modified>
</cp:coreProperties>
</file>