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97" w:rsidRPr="00676B62" w:rsidRDefault="00584F75" w:rsidP="00676B62">
      <w:pPr>
        <w:spacing w:after="240" w:line="240" w:lineRule="auto"/>
        <w:jc w:val="center"/>
        <w:outlineLvl w:val="0"/>
        <w:rPr>
          <w:rFonts w:ascii="Times New Roman" w:eastAsia="Times New Roman" w:hAnsi="Times New Roman"/>
          <w:b/>
          <w:sz w:val="28"/>
          <w:szCs w:val="28"/>
          <w:u w:val="single"/>
        </w:rPr>
      </w:pPr>
      <w:r>
        <w:rPr>
          <w:rFonts w:ascii="Times New Roman" w:hAnsi="Times New Roman"/>
          <w:b/>
          <w:sz w:val="28"/>
          <w:szCs w:val="28"/>
          <w:u w:val="single"/>
        </w:rPr>
        <w:t>LIITE</w:t>
      </w:r>
    </w:p>
    <w:p w:rsidR="00E73997" w:rsidRPr="00E73997" w:rsidRDefault="00E73997" w:rsidP="00E73997">
      <w:pPr>
        <w:spacing w:after="240" w:line="240" w:lineRule="auto"/>
        <w:jc w:val="center"/>
        <w:outlineLvl w:val="0"/>
        <w:rPr>
          <w:rFonts w:ascii="Times New Roman" w:eastAsia="Times New Roman" w:hAnsi="Times New Roman"/>
          <w:b/>
          <w:sz w:val="28"/>
          <w:szCs w:val="28"/>
          <w:u w:val="single"/>
        </w:rPr>
      </w:pPr>
      <w:r>
        <w:rPr>
          <w:rFonts w:ascii="Times New Roman" w:hAnsi="Times New Roman"/>
          <w:b/>
          <w:sz w:val="28"/>
          <w:szCs w:val="28"/>
          <w:u w:val="single"/>
        </w:rPr>
        <w:t>Yleisiin taloudellisiin tarkoituksiin liittyvät palvelut: ohjeita yleisiin taloudellisiin tarkoituksiin liittyvistä palveluista vuonna 2012 annetun päätöksen ja niitä koskevien vuoden 2012 puitteiden nojalla toimitettavan kertomuksen laadintaa varten</w:t>
      </w:r>
    </w:p>
    <w:p w:rsidR="009428CD" w:rsidRDefault="009428CD" w:rsidP="00E73997">
      <w:pPr>
        <w:spacing w:after="240" w:line="240" w:lineRule="auto"/>
        <w:jc w:val="both"/>
        <w:rPr>
          <w:rFonts w:ascii="Times New Roman" w:eastAsia="Times New Roman" w:hAnsi="Times New Roman"/>
          <w:b/>
          <w:sz w:val="24"/>
          <w:szCs w:val="20"/>
        </w:rPr>
      </w:pP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b/>
          <w:sz w:val="24"/>
          <w:szCs w:val="20"/>
        </w:rPr>
        <w:t>Raportointivelvoitteista</w:t>
      </w:r>
      <w:r>
        <w:rPr>
          <w:rFonts w:ascii="Times New Roman" w:hAnsi="Times New Roman"/>
          <w:sz w:val="24"/>
          <w:szCs w:val="20"/>
        </w:rPr>
        <w:t xml:space="preserve"> säädetään vuoden 2012 päätöksen 9 artiklassa:</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Jäsenvaltioiden on kahden vuoden välein toimitettava komissiolle kertomus tämän päätöksen täytäntöönpanosta. Kertomuksissa on esitettävä yksityiskohtainen katsaus tämän päätöksen soveltamiseen 2 artiklan 1 kohdassa tarkoitettujen eri palveluluokkien osalta, mukaan lukien:</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a) tämän päätöksen soveltaminen soveltamisalaan kuuluviin palveluihin, mukaan lukien sisäiset toiminnot</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b) tämän päätöksen mukaisesti myönnetyn tuen kokonaismäärä ja sen jakautuminen tuensaajien toimialoille</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c) selvitys siitä, onko päätöksen soveltaminen johtanut tietyn palvelutyypin osalta vaikeuksiin tai kolmansien kanteluihin</w:t>
      </w:r>
      <w:r w:rsidR="000F7391">
        <w:rPr>
          <w:rFonts w:ascii="Times New Roman" w:hAnsi="Times New Roman"/>
          <w:i/>
          <w:sz w:val="24"/>
          <w:szCs w:val="20"/>
        </w:rPr>
        <w:t>,</w:t>
      </w:r>
      <w:r>
        <w:rPr>
          <w:rFonts w:ascii="Times New Roman" w:hAnsi="Times New Roman"/>
          <w:i/>
          <w:sz w:val="24"/>
          <w:szCs w:val="20"/>
        </w:rPr>
        <w:t xml:space="preserve"> ja</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d) muut komission mahdollisesti edellyttämät tämän päätöksen soveltamista koskevat tiedot, jotka on täsmennettävä hyvissä ajoin ennen kertomusten toimittamisen määräaikaa.</w:t>
      </w: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Vuoden 2012 puitteiden 62 kohdassa vahvistetaan periaatteessa samat raportointivelvoitteet vuoden 2012 puitteiden nojalla myönnetyn tuen osalta.</w:t>
      </w:r>
      <w:bookmarkStart w:id="0" w:name="_GoBack"/>
      <w:bookmarkEnd w:id="0"/>
    </w:p>
    <w:p w:rsidR="00E73997" w:rsidRPr="00E73997" w:rsidRDefault="00E73997" w:rsidP="00E73997">
      <w:pPr>
        <w:spacing w:after="240" w:line="240" w:lineRule="auto"/>
        <w:jc w:val="both"/>
        <w:rPr>
          <w:rFonts w:ascii="Times New Roman" w:eastAsia="Times New Roman" w:hAnsi="Times New Roman"/>
          <w:sz w:val="24"/>
          <w:szCs w:val="20"/>
          <w:u w:val="single"/>
        </w:rPr>
      </w:pPr>
      <w:r>
        <w:rPr>
          <w:rFonts w:ascii="Times New Roman" w:hAnsi="Times New Roman"/>
          <w:sz w:val="24"/>
          <w:szCs w:val="20"/>
          <w:u w:val="single"/>
        </w:rPr>
        <w:t xml:space="preserve">Kertomuksessa olisi noudatettava seuraavaa rakennetta: </w:t>
      </w:r>
    </w:p>
    <w:p w:rsidR="00E73997" w:rsidRPr="00E73997" w:rsidRDefault="00E73997"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Yhteenveto menoista</w:t>
      </w:r>
    </w:p>
    <w:p w:rsidR="00E73997" w:rsidRPr="00E73997" w:rsidRDefault="00E73997" w:rsidP="00E73997">
      <w:pPr>
        <w:spacing w:after="0" w:line="240" w:lineRule="auto"/>
        <w:ind w:left="360"/>
        <w:rPr>
          <w:rFonts w:ascii="Times New Roman" w:eastAsia="Times New Roman" w:hAnsi="Times New Roman"/>
          <w:b/>
          <w:smallCaps/>
          <w:sz w:val="24"/>
          <w:szCs w:val="20"/>
        </w:rPr>
      </w:pP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Täyttäkää seuraava taulukko:</w:t>
      </w:r>
    </w:p>
    <w:tbl>
      <w:tblPr>
        <w:tblW w:w="8402" w:type="dxa"/>
        <w:tblInd w:w="93" w:type="dxa"/>
        <w:tblLook w:val="04A0" w:firstRow="1" w:lastRow="0" w:firstColumn="1" w:lastColumn="0" w:noHBand="0" w:noVBand="1"/>
      </w:tblPr>
      <w:tblGrid>
        <w:gridCol w:w="299"/>
        <w:gridCol w:w="283"/>
        <w:gridCol w:w="114"/>
        <w:gridCol w:w="5932"/>
        <w:gridCol w:w="842"/>
        <w:gridCol w:w="932"/>
      </w:tblGrid>
      <w:tr w:rsidR="00E73997" w:rsidRPr="00E73997" w:rsidTr="009428CD">
        <w:trPr>
          <w:trHeight w:val="300"/>
        </w:trPr>
        <w:tc>
          <w:tcPr>
            <w:tcW w:w="840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E73997" w:rsidRPr="00E73997" w:rsidRDefault="00101854" w:rsidP="00101854">
            <w:pPr>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4"/>
              </w:rPr>
              <w:t>Yleisiin taloudellisiin tarkoituksiin liittyviä palveluja koskevat julkiset menot yhteensä oikeusperustan mukaan (miljoonaa euroa)</w:t>
            </w:r>
          </w:p>
        </w:tc>
      </w:tr>
      <w:tr w:rsidR="00E73997" w:rsidRPr="00E73997" w:rsidTr="009428CD">
        <w:trPr>
          <w:trHeight w:val="300"/>
        </w:trPr>
        <w:tc>
          <w:tcPr>
            <w:tcW w:w="299" w:type="dxa"/>
            <w:tcBorders>
              <w:top w:val="nil"/>
              <w:left w:val="single" w:sz="4" w:space="0" w:color="auto"/>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397" w:type="dxa"/>
            <w:gridSpan w:val="2"/>
            <w:tcBorders>
              <w:top w:val="nil"/>
              <w:left w:val="nil"/>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lang w:eastAsia="en-GB"/>
              </w:rPr>
            </w:pPr>
          </w:p>
        </w:tc>
        <w:tc>
          <w:tcPr>
            <w:tcW w:w="5932" w:type="dxa"/>
            <w:tcBorders>
              <w:top w:val="nil"/>
              <w:left w:val="nil"/>
              <w:right w:val="nil"/>
            </w:tcBorders>
            <w:shd w:val="clear" w:color="auto" w:fill="auto"/>
            <w:noWrap/>
            <w:vAlign w:val="bottom"/>
            <w:hideMark/>
          </w:tcPr>
          <w:p w:rsidR="00E73997" w:rsidRPr="00E73997" w:rsidRDefault="00E73997" w:rsidP="00E73997">
            <w:pPr>
              <w:spacing w:after="0" w:line="240" w:lineRule="auto"/>
              <w:rPr>
                <w:rFonts w:eastAsia="Times New Roman"/>
                <w:color w:val="000000"/>
                <w:lang w:eastAsia="en-GB"/>
              </w:rPr>
            </w:pP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jc w:val="center"/>
              <w:rPr>
                <w:rFonts w:eastAsia="Times New Roman"/>
                <w:color w:val="000000"/>
              </w:rPr>
            </w:pPr>
            <w:r>
              <w:rPr>
                <w:color w:val="000000"/>
              </w:rPr>
              <w:t>2020</w:t>
            </w:r>
          </w:p>
        </w:tc>
        <w:tc>
          <w:tcPr>
            <w:tcW w:w="932" w:type="dxa"/>
            <w:tcBorders>
              <w:top w:val="nil"/>
              <w:left w:val="nil"/>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jc w:val="center"/>
              <w:rPr>
                <w:rFonts w:eastAsia="Times New Roman"/>
                <w:color w:val="000000"/>
              </w:rPr>
            </w:pPr>
            <w:r>
              <w:rPr>
                <w:color w:val="000000"/>
              </w:rPr>
              <w:t>2021</w:t>
            </w:r>
          </w:p>
        </w:tc>
      </w:tr>
      <w:tr w:rsidR="00E73997" w:rsidRPr="00E73997" w:rsidTr="009428CD">
        <w:trPr>
          <w:trHeight w:val="300"/>
        </w:trPr>
        <w:tc>
          <w:tcPr>
            <w:tcW w:w="299" w:type="dxa"/>
            <w:tcBorders>
              <w:top w:val="nil"/>
              <w:left w:val="single" w:sz="4" w:space="0" w:color="auto"/>
              <w:bottom w:val="nil"/>
              <w:right w:val="nil"/>
            </w:tcBorders>
            <w:shd w:val="clear" w:color="000000" w:fill="F2F2F2"/>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6329" w:type="dxa"/>
            <w:gridSpan w:val="3"/>
            <w:tcBorders>
              <w:top w:val="nil"/>
              <w:left w:val="nil"/>
              <w:bottom w:val="nil"/>
              <w:right w:val="nil"/>
            </w:tcBorders>
            <w:shd w:val="clear" w:color="000000" w:fill="F2F2F2"/>
            <w:noWrap/>
            <w:vAlign w:val="bottom"/>
            <w:hideMark/>
          </w:tcPr>
          <w:p w:rsidR="00E73997" w:rsidRPr="00E73997" w:rsidRDefault="00A105BE" w:rsidP="00EA4EB6">
            <w:pPr>
              <w:spacing w:after="0" w:line="240" w:lineRule="auto"/>
              <w:rPr>
                <w:rFonts w:ascii="Times New Roman" w:eastAsia="Times New Roman" w:hAnsi="Times New Roman"/>
                <w:b/>
                <w:bCs/>
                <w:i/>
                <w:iCs/>
                <w:color w:val="000000"/>
              </w:rPr>
            </w:pPr>
            <w:r>
              <w:rPr>
                <w:rFonts w:ascii="Times New Roman" w:hAnsi="Times New Roman"/>
                <w:b/>
                <w:bCs/>
                <w:i/>
                <w:iCs/>
                <w:color w:val="000000"/>
              </w:rPr>
              <w:t>Korvaus yleisiin taloudellisiin tarkoituksiin liittyvistä palveluista yhteensä (1+2)</w:t>
            </w:r>
          </w:p>
        </w:tc>
        <w:tc>
          <w:tcPr>
            <w:tcW w:w="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rsidTr="009428CD">
        <w:trPr>
          <w:trHeight w:val="300"/>
        </w:trPr>
        <w:tc>
          <w:tcPr>
            <w:tcW w:w="299" w:type="dxa"/>
            <w:tcBorders>
              <w:top w:val="nil"/>
              <w:left w:val="single" w:sz="4" w:space="0" w:color="auto"/>
              <w:bottom w:val="nil"/>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283" w:type="dxa"/>
            <w:tcBorders>
              <w:top w:val="nil"/>
              <w:left w:val="nil"/>
              <w:bottom w:val="nil"/>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lang w:eastAsia="en-GB"/>
              </w:rPr>
            </w:pPr>
          </w:p>
        </w:tc>
        <w:tc>
          <w:tcPr>
            <w:tcW w:w="6046" w:type="dxa"/>
            <w:gridSpan w:val="2"/>
            <w:tcBorders>
              <w:top w:val="nil"/>
              <w:left w:val="nil"/>
              <w:bottom w:val="nil"/>
              <w:right w:val="nil"/>
            </w:tcBorders>
            <w:shd w:val="clear" w:color="auto" w:fill="auto"/>
            <w:noWrap/>
            <w:vAlign w:val="bottom"/>
            <w:hideMark/>
          </w:tcPr>
          <w:p w:rsidR="00E73997" w:rsidRPr="00E73997" w:rsidRDefault="00E73997" w:rsidP="003677DD">
            <w:pPr>
              <w:spacing w:after="0" w:line="240" w:lineRule="auto"/>
              <w:rPr>
                <w:rFonts w:ascii="Times New Roman" w:eastAsia="Times New Roman" w:hAnsi="Times New Roman"/>
                <w:color w:val="000000"/>
              </w:rPr>
            </w:pPr>
            <w:r>
              <w:rPr>
                <w:rFonts w:ascii="Times New Roman" w:hAnsi="Times New Roman"/>
                <w:color w:val="000000"/>
              </w:rPr>
              <w:t>1) Kokonaiskorvaus, joka on myönnetty yleisiin taloudellisiin tarkoituksiin liittyviä palveluja koskevan päätöksen nojalla</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rsidTr="009428CD">
        <w:trPr>
          <w:trHeight w:val="300"/>
        </w:trPr>
        <w:tc>
          <w:tcPr>
            <w:tcW w:w="299" w:type="dxa"/>
            <w:tcBorders>
              <w:top w:val="nil"/>
              <w:left w:val="single" w:sz="4" w:space="0" w:color="auto"/>
              <w:bottom w:val="single" w:sz="4" w:space="0" w:color="auto"/>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283" w:type="dxa"/>
            <w:tcBorders>
              <w:top w:val="nil"/>
              <w:left w:val="nil"/>
              <w:bottom w:val="single" w:sz="4" w:space="0" w:color="auto"/>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lang w:eastAsia="en-GB"/>
              </w:rPr>
            </w:pPr>
          </w:p>
        </w:tc>
        <w:tc>
          <w:tcPr>
            <w:tcW w:w="6046" w:type="dxa"/>
            <w:gridSpan w:val="2"/>
            <w:tcBorders>
              <w:top w:val="nil"/>
              <w:left w:val="nil"/>
              <w:bottom w:val="single" w:sz="4" w:space="0" w:color="auto"/>
              <w:right w:val="nil"/>
            </w:tcBorders>
            <w:shd w:val="clear" w:color="auto" w:fill="auto"/>
            <w:noWrap/>
            <w:vAlign w:val="bottom"/>
            <w:hideMark/>
          </w:tcPr>
          <w:p w:rsidR="00E73997" w:rsidRPr="00E73997" w:rsidRDefault="00E73997" w:rsidP="003677DD">
            <w:pPr>
              <w:spacing w:after="0" w:line="240" w:lineRule="auto"/>
              <w:rPr>
                <w:rFonts w:ascii="Times New Roman" w:eastAsia="Times New Roman" w:hAnsi="Times New Roman"/>
                <w:color w:val="000000"/>
              </w:rPr>
            </w:pPr>
            <w:r>
              <w:rPr>
                <w:rFonts w:ascii="Times New Roman" w:hAnsi="Times New Roman"/>
                <w:color w:val="000000"/>
              </w:rPr>
              <w:t>2) Kokonaiskorvaus, joka on myönnetty yleisiin taloudellisiin tarkoituksiin liittyviä palveluja koskevien puitteiden nojalla</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rsidTr="009428CD">
        <w:trPr>
          <w:trHeight w:val="184"/>
        </w:trPr>
        <w:tc>
          <w:tcPr>
            <w:tcW w:w="8402" w:type="dxa"/>
            <w:gridSpan w:val="6"/>
            <w:tcBorders>
              <w:top w:val="single" w:sz="4" w:space="0" w:color="auto"/>
              <w:left w:val="nil"/>
              <w:bottom w:val="nil"/>
              <w:right w:val="nil"/>
            </w:tcBorders>
            <w:shd w:val="clear" w:color="auto" w:fill="auto"/>
            <w:vAlign w:val="bottom"/>
            <w:hideMark/>
          </w:tcPr>
          <w:p w:rsidR="00E73997" w:rsidRPr="00E73997" w:rsidRDefault="00E73997" w:rsidP="00E73997">
            <w:pPr>
              <w:spacing w:after="0" w:line="240" w:lineRule="auto"/>
              <w:rPr>
                <w:rFonts w:ascii="Times New Roman" w:eastAsia="Times New Roman" w:hAnsi="Times New Roman"/>
                <w:color w:val="000000"/>
                <w:sz w:val="16"/>
                <w:szCs w:val="16"/>
                <w:lang w:eastAsia="en-GB"/>
              </w:rPr>
            </w:pPr>
          </w:p>
        </w:tc>
      </w:tr>
    </w:tbl>
    <w:p w:rsidR="00E73997" w:rsidRPr="00E73997" w:rsidRDefault="00E73997" w:rsidP="00E73997">
      <w:pPr>
        <w:spacing w:after="240" w:line="240" w:lineRule="auto"/>
        <w:jc w:val="both"/>
        <w:rPr>
          <w:rFonts w:ascii="Times New Roman" w:eastAsia="Times New Roman" w:hAnsi="Times New Roman"/>
          <w:sz w:val="24"/>
          <w:szCs w:val="20"/>
          <w:lang w:val="ga-IE"/>
        </w:rPr>
      </w:pPr>
    </w:p>
    <w:p w:rsidR="00E73997" w:rsidRPr="00E73997" w:rsidRDefault="00E73997"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 xml:space="preserve">Kuvaus </w:t>
      </w:r>
      <w:r>
        <w:rPr>
          <w:rFonts w:ascii="Times New Roman" w:hAnsi="Times New Roman"/>
          <w:b/>
          <w:smallCaps/>
          <w:sz w:val="24"/>
          <w:szCs w:val="20"/>
          <w:u w:val="single"/>
        </w:rPr>
        <w:t>vuonna 2012 annetun yleisiin taloudellisiin tarkoituksiin liittyviä palveluja koskevan päätöksen</w:t>
      </w:r>
      <w:r>
        <w:rPr>
          <w:rFonts w:ascii="Times New Roman" w:hAnsi="Times New Roman"/>
          <w:b/>
          <w:smallCaps/>
          <w:sz w:val="24"/>
          <w:szCs w:val="20"/>
        </w:rPr>
        <w:t xml:space="preserve"> soveltamisesta </w:t>
      </w:r>
    </w:p>
    <w:p w:rsidR="00E73997" w:rsidRPr="0099514A" w:rsidRDefault="00E73997" w:rsidP="00E73997">
      <w:pPr>
        <w:spacing w:after="0" w:line="240" w:lineRule="auto"/>
        <w:rPr>
          <w:rFonts w:ascii="Times New Roman" w:eastAsia="Times New Roman" w:hAnsi="Times New Roman"/>
          <w:b/>
          <w:smallCaps/>
          <w:sz w:val="24"/>
          <w:szCs w:val="20"/>
        </w:rPr>
      </w:pP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b/>
          <w:sz w:val="24"/>
          <w:szCs w:val="20"/>
        </w:rPr>
        <w:t>Noudattakaa kertomuksenne tässä osassa seuraavaa rakennetta:</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Sairaanhoitopalveluja tarjoavat sairaalat, mukaan lukien soveltuvin osin hätäpalvelut (2 artiklan 1 kohdan b alakohta)</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Sosiaalipalvelut (2 artiklan 1 kohdan c alakohta)</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Terveydenhuolto ja pitkäaikaishoito</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Lastenhoito</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Työmarkkinoille pääsy ja paluu</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Sosiaalinen asuntotarjonta</w:t>
      </w:r>
    </w:p>
    <w:p w:rsid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Muita heikommassa asemassa olevien ryhmien hoitoon ja sosiaaliseen osallisuuteen liittyvien tarpeiden täyttäminen</w:t>
      </w:r>
    </w:p>
    <w:p w:rsidR="00A105BE" w:rsidRPr="00E73997" w:rsidRDefault="00A105BE"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Muut (mahdolliset) sosiaalipalvelut</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Lento- ja meriliikenneyhteydet saariin, joiden keskimääräinen vuosittainen matkustajamäärä ei ylitä 2 artiklan 1 kohdan d alakohdassa vahvistettua kynnysarvoa</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Lentoasemat ja satamat, joiden keskimääräinen vuosittainen matkustajamäärä ei ylitä 2 artiklan 1 kohdan e alakohdassa vahvistettua kynnysarvoa</w:t>
      </w:r>
    </w:p>
    <w:p w:rsidR="00E73997" w:rsidRPr="006D5E2F" w:rsidRDefault="00E73997" w:rsidP="006D5E2F">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Enintään 15 miljoonan euron korvaus vuodessa yleisiin taloudellisiin tarkoituksiin liittyvien palvelujen tuottamisesta (2 artiklan 1 kohdan a alakohta)</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Postipalvelut</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Energia</w:t>
      </w:r>
    </w:p>
    <w:p w:rsidR="00EA4EB6"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Jätteiden keräys</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Vesihuolto</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Kulttuuri </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Rahoituspalvelut</w:t>
      </w:r>
    </w:p>
    <w:p w:rsidR="00E73997" w:rsidRPr="0099514A" w:rsidRDefault="00EA4EB6"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Muut alat (täsmentäkää)</w:t>
      </w:r>
    </w:p>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Antakaa kustakin edellä mainitusta kohdasta tietoja seuraavan taulukon mukaisessa muodossa: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A105BE" w:rsidRPr="00E73997" w:rsidTr="00B804DF">
        <w:tc>
          <w:tcPr>
            <w:tcW w:w="8758" w:type="dxa"/>
            <w:gridSpan w:val="2"/>
            <w:tcBorders>
              <w:bottom w:val="single" w:sz="4" w:space="0" w:color="auto"/>
            </w:tcBorders>
            <w:shd w:val="clear" w:color="auto" w:fill="BFBFBF"/>
          </w:tcPr>
          <w:p w:rsidR="00A105BE" w:rsidRPr="00E73997" w:rsidRDefault="00A105BE"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Kohta (esimerkiksi 1 – sairaalat tai 2 b – lastenhoito)</w:t>
            </w:r>
          </w:p>
        </w:tc>
      </w:tr>
      <w:tr w:rsidR="00A105BE" w:rsidRPr="00E73997" w:rsidTr="00A105BE">
        <w:tc>
          <w:tcPr>
            <w:tcW w:w="8758" w:type="dxa"/>
            <w:gridSpan w:val="2"/>
            <w:tcBorders>
              <w:bottom w:val="single" w:sz="4" w:space="0" w:color="auto"/>
            </w:tcBorders>
            <w:shd w:val="clear" w:color="auto" w:fill="auto"/>
          </w:tcPr>
          <w:p w:rsidR="00A105BE" w:rsidRDefault="00A105BE" w:rsidP="0099514A">
            <w:pPr>
              <w:keepNext/>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tcBorders>
              <w:bottom w:val="single" w:sz="4" w:space="0" w:color="auto"/>
            </w:tcBorders>
            <w:shd w:val="clear" w:color="auto" w:fill="BFBFBF"/>
          </w:tcPr>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Selkeä ja kattava kuvaus siitä, miten kyseiset palvelut on järjestetty jäsenvaltiossanne</w:t>
            </w:r>
            <w:r>
              <w:rPr>
                <w:rFonts w:ascii="Times New Roman" w:eastAsia="Times New Roman" w:hAnsi="Times New Roman"/>
                <w:b/>
                <w:sz w:val="24"/>
                <w:szCs w:val="20"/>
                <w:vertAlign w:val="superscript"/>
              </w:rPr>
              <w:footnoteReference w:id="1"/>
            </w:r>
          </w:p>
        </w:tc>
      </w:tr>
      <w:tr w:rsidR="00E73997" w:rsidRPr="00E73997" w:rsidTr="00B804DF">
        <w:tc>
          <w:tcPr>
            <w:tcW w:w="8758" w:type="dxa"/>
            <w:gridSpan w:val="2"/>
            <w:shd w:val="clear" w:color="auto" w:fill="F2F2F2"/>
          </w:tcPr>
          <w:p w:rsidR="00E73997" w:rsidRPr="0099514A" w:rsidRDefault="001C3CBF" w:rsidP="007B595C">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Selvitys siitä, millaiset palvelut kyseisellä alalla on määritelty yleisiin taloudellisiin tarkoituksiin liittyviksi palveluiksi jäsenvaltiossanne. Luetelkaa </w:t>
            </w:r>
            <w:r>
              <w:rPr>
                <w:rFonts w:ascii="Times New Roman" w:hAnsi="Times New Roman"/>
                <w:b/>
                <w:sz w:val="24"/>
                <w:szCs w:val="20"/>
              </w:rPr>
              <w:t>yleisiin taloudellisiin tarkoituksiin liittyviksi palveluiksi luokiteltujen palvelujen sisältö</w:t>
            </w:r>
            <w:r>
              <w:rPr>
                <w:rFonts w:ascii="Times New Roman" w:hAnsi="Times New Roman"/>
                <w:sz w:val="24"/>
                <w:szCs w:val="20"/>
              </w:rPr>
              <w:t xml:space="preserve"> mahdollisimman selkeästi.</w:t>
            </w:r>
          </w:p>
        </w:tc>
      </w:tr>
      <w:tr w:rsidR="00E73997" w:rsidRPr="00E73997" w:rsidTr="0099514A">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1C3CBF" w:rsidRPr="00E7399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1C3CBF" w:rsidRPr="00E73997" w:rsidRDefault="001C3CBF" w:rsidP="007B595C">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Selvitys (tavanomaisista) </w:t>
            </w:r>
            <w:r>
              <w:rPr>
                <w:rFonts w:ascii="Times New Roman" w:hAnsi="Times New Roman"/>
                <w:b/>
                <w:sz w:val="24"/>
                <w:szCs w:val="20"/>
              </w:rPr>
              <w:t>toimeksiannon muodoista</w:t>
            </w:r>
            <w:r>
              <w:rPr>
                <w:rFonts w:ascii="Times New Roman" w:hAnsi="Times New Roman"/>
                <w:sz w:val="24"/>
                <w:szCs w:val="20"/>
              </w:rPr>
              <w:t>. Jos tietyllä alalla käytetään vakiomuotoisia toimeksiantomalleja, liittäkää ne mukaan.</w:t>
            </w:r>
            <w:r>
              <w:t xml:space="preserve"> </w:t>
            </w:r>
          </w:p>
        </w:tc>
      </w:tr>
      <w:tr w:rsidR="001C3CBF" w:rsidRPr="00E73997" w:rsidTr="001C3CB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1C3CBF" w:rsidRPr="00E73997" w:rsidRDefault="001C3CBF" w:rsidP="00D459EF">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A817BA">
            <w:pPr>
              <w:spacing w:after="240" w:line="240" w:lineRule="auto"/>
              <w:jc w:val="both"/>
              <w:rPr>
                <w:rFonts w:ascii="Times New Roman" w:eastAsia="Times New Roman" w:hAnsi="Times New Roman"/>
                <w:b/>
                <w:sz w:val="24"/>
                <w:szCs w:val="20"/>
              </w:rPr>
            </w:pPr>
            <w:r>
              <w:rPr>
                <w:rFonts w:ascii="Times New Roman" w:hAnsi="Times New Roman"/>
                <w:b/>
                <w:sz w:val="24"/>
                <w:szCs w:val="20"/>
              </w:rPr>
              <w:t>Toimeksiannon keskimääräinen kesto (vuosina)</w:t>
            </w:r>
            <w:r>
              <w:rPr>
                <w:rFonts w:ascii="Times New Roman" w:hAnsi="Times New Roman"/>
                <w:sz w:val="24"/>
                <w:szCs w:val="20"/>
              </w:rPr>
              <w:t xml:space="preserve"> ja </w:t>
            </w:r>
            <w:r>
              <w:rPr>
                <w:rFonts w:ascii="Times New Roman" w:hAnsi="Times New Roman"/>
                <w:b/>
                <w:sz w:val="24"/>
                <w:szCs w:val="20"/>
              </w:rPr>
              <w:t>yli kymmenen vuotta</w:t>
            </w:r>
            <w:r>
              <w:rPr>
                <w:rFonts w:ascii="Times New Roman" w:hAnsi="Times New Roman"/>
                <w:sz w:val="24"/>
                <w:szCs w:val="20"/>
              </w:rPr>
              <w:t xml:space="preserve"> kestävien toimeksiantojen osuus (%) aloittain. Täsmentäkää, millä aloilla yleisiin taloudellisiin tarkoituksiin liittyviä palveluja on annettu tehtäväksi yli kymmenen vuotta kestävillä toimeksiannoilla, ja selittäkää, miksi toimeksiannon kesto on perusteltu.</w:t>
            </w:r>
          </w:p>
        </w:tc>
      </w:tr>
      <w:tr w:rsidR="00E73997" w:rsidRPr="00E73997" w:rsidTr="0099514A">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1C3CBF" w:rsidRPr="00E7399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1C3CBF" w:rsidRPr="0099514A" w:rsidRDefault="001C3CBF"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Selvitys siitä, annetaanko yrityksille (tavallisesti) </w:t>
            </w:r>
            <w:r>
              <w:rPr>
                <w:rFonts w:ascii="Times New Roman" w:hAnsi="Times New Roman"/>
                <w:b/>
                <w:sz w:val="24"/>
                <w:szCs w:val="20"/>
              </w:rPr>
              <w:t>yksinoikeuksia tai erityisoikeuksia</w:t>
            </w:r>
            <w:r>
              <w:rPr>
                <w:rFonts w:ascii="Times New Roman" w:hAnsi="Times New Roman"/>
                <w:sz w:val="24"/>
                <w:szCs w:val="20"/>
              </w:rPr>
              <w:t>.</w:t>
            </w:r>
          </w:p>
        </w:tc>
      </w:tr>
      <w:tr w:rsidR="001C3CBF" w:rsidRPr="00E73997" w:rsidTr="001C3CB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1C3CBF" w:rsidRPr="00E73997" w:rsidRDefault="001C3CBF" w:rsidP="00D459EF">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99514A" w:rsidRDefault="00A817BA"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Mitä </w:t>
            </w:r>
            <w:r>
              <w:rPr>
                <w:rFonts w:ascii="Times New Roman" w:hAnsi="Times New Roman"/>
                <w:b/>
                <w:sz w:val="24"/>
                <w:szCs w:val="20"/>
              </w:rPr>
              <w:t>tukivälineitä</w:t>
            </w:r>
            <w:r>
              <w:rPr>
                <w:rFonts w:ascii="Times New Roman" w:hAnsi="Times New Roman"/>
                <w:sz w:val="24"/>
                <w:szCs w:val="20"/>
              </w:rPr>
              <w:t xml:space="preserve"> on käytetty (suorat avustukset, takaukset jne.)?</w:t>
            </w:r>
          </w:p>
        </w:tc>
      </w:tr>
      <w:tr w:rsidR="00E73997" w:rsidRPr="00E73997" w:rsidTr="00B804DF">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Kyseessä olevia palveluja koskeva tavanomainen </w:t>
            </w:r>
            <w:r>
              <w:rPr>
                <w:rFonts w:ascii="Times New Roman" w:hAnsi="Times New Roman"/>
                <w:b/>
                <w:sz w:val="24"/>
                <w:szCs w:val="20"/>
              </w:rPr>
              <w:t>korvausjärjestelmä</w:t>
            </w:r>
            <w:r>
              <w:rPr>
                <w:rFonts w:ascii="Times New Roman" w:hAnsi="Times New Roman"/>
                <w:sz w:val="24"/>
                <w:szCs w:val="20"/>
              </w:rPr>
              <w:t xml:space="preserve"> ja tieto siitä, perustuuko käytetty menetelmä kustannusten kohdentamiseen vai vältettyihin nettokustannuksiin.</w:t>
            </w:r>
          </w:p>
        </w:tc>
      </w:tr>
      <w:tr w:rsidR="00E73997" w:rsidRPr="00E73997" w:rsidTr="00B804DF">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Tavanomaiset </w:t>
            </w:r>
            <w:r>
              <w:rPr>
                <w:rFonts w:ascii="Times New Roman" w:hAnsi="Times New Roman"/>
                <w:b/>
                <w:sz w:val="24"/>
                <w:szCs w:val="20"/>
              </w:rPr>
              <w:t>järjestelyt liiallisten korvausten välttämiseksi ja takaisin maksamiseksi</w:t>
            </w:r>
            <w:r>
              <w:rPr>
                <w:rFonts w:ascii="Times New Roman" w:hAnsi="Times New Roman"/>
                <w:sz w:val="24"/>
                <w:szCs w:val="20"/>
              </w:rPr>
              <w:t>.</w:t>
            </w:r>
          </w:p>
        </w:tc>
      </w:tr>
      <w:tr w:rsidR="00E73997" w:rsidRPr="00E73997" w:rsidTr="00230487">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230487" w:rsidRPr="00E73997" w:rsidTr="00765398">
        <w:tc>
          <w:tcPr>
            <w:tcW w:w="8758" w:type="dxa"/>
            <w:gridSpan w:val="2"/>
            <w:tcBorders>
              <w:bottom w:val="single" w:sz="4" w:space="0" w:color="auto"/>
            </w:tcBorders>
            <w:shd w:val="clear" w:color="auto" w:fill="F2F2F2"/>
          </w:tcPr>
          <w:p w:rsidR="00230487" w:rsidRPr="00E73997" w:rsidRDefault="00230487" w:rsidP="00101854">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Lyhyt selvitys siitä, miten </w:t>
            </w:r>
            <w:r>
              <w:rPr>
                <w:rFonts w:ascii="Times New Roman" w:hAnsi="Times New Roman"/>
                <w:b/>
                <w:sz w:val="24"/>
                <w:szCs w:val="20"/>
              </w:rPr>
              <w:t>avoimuutta koskevia vaatimuksia</w:t>
            </w:r>
            <w:r>
              <w:rPr>
                <w:rFonts w:ascii="Times New Roman" w:hAnsi="Times New Roman"/>
                <w:sz w:val="24"/>
                <w:szCs w:val="20"/>
              </w:rPr>
              <w:t xml:space="preserve"> (ks. vuoden 2012 päätöksen 7 artikla) noudatetaan, kun on kyse yli 15 miljoonan euron korvauksista yrityksille, jotka harjoittavat yleisiin taloudellisiin tarkoituksiin liittyvän palvelun tuottamisen lisäksi muuta toimintaa. Esittäkää vastauksessanne myös asiaan liittyviä esimerkkejä tätä tarkoitusta varten julkaistuista tiedoista (esim. linkkejä verkkosivuille tai muita viittauksia). Ilmoittakaa myös, onko teillä keskitetty verkkosivusto, jolla julkaisette nämä tiedot kaikista tukitoimenpiteistä jäsenvaltiossanne (ja jos on, lisätkää linkki kyseiselle verkkosivustolle), tai jos julkaiseminen tapahtuu tuen myöntäjän tasolla (keskus-, alue- tai paikallistasolla), selittäkää, miten tiedot julkaistaan.</w:t>
            </w:r>
          </w:p>
        </w:tc>
      </w:tr>
      <w:tr w:rsidR="00230487" w:rsidRPr="00E73997" w:rsidTr="00B804DF">
        <w:tc>
          <w:tcPr>
            <w:tcW w:w="8758" w:type="dxa"/>
            <w:gridSpan w:val="2"/>
            <w:tcBorders>
              <w:bottom w:val="single" w:sz="4" w:space="0" w:color="auto"/>
            </w:tcBorders>
            <w:shd w:val="clear" w:color="auto" w:fill="auto"/>
          </w:tcPr>
          <w:p w:rsidR="00230487" w:rsidRPr="00E73997" w:rsidRDefault="00230487" w:rsidP="009428CD">
            <w:pPr>
              <w:keepNext/>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tcBorders>
              <w:bottom w:val="single" w:sz="4" w:space="0" w:color="auto"/>
            </w:tcBorders>
            <w:shd w:val="clear" w:color="auto" w:fill="BFBFBF"/>
          </w:tcPr>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Myönnetyn tuen määrä</w:t>
            </w:r>
          </w:p>
        </w:tc>
      </w:tr>
      <w:tr w:rsidR="00E73997" w:rsidRPr="00E73997" w:rsidTr="00B804DF">
        <w:tc>
          <w:tcPr>
            <w:tcW w:w="8758" w:type="dxa"/>
            <w:gridSpan w:val="2"/>
            <w:shd w:val="clear" w:color="auto" w:fill="F2F2F2"/>
          </w:tcPr>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Myönnetyn tuen kokonaismäärä (miljoonaa euroa)</w:t>
            </w:r>
            <w:r>
              <w:rPr>
                <w:rFonts w:ascii="Times New Roman" w:eastAsia="Times New Roman" w:hAnsi="Times New Roman"/>
                <w:sz w:val="24"/>
                <w:szCs w:val="20"/>
                <w:vertAlign w:val="superscript"/>
              </w:rPr>
              <w:footnoteReference w:id="2"/>
            </w:r>
            <w:r>
              <w:rPr>
                <w:rFonts w:ascii="Times New Roman" w:hAnsi="Times New Roman"/>
                <w:sz w:val="24"/>
                <w:szCs w:val="20"/>
              </w:rPr>
              <w:t>.</w:t>
            </w:r>
            <w:r>
              <w:rPr>
                <w:rFonts w:ascii="Times New Roman" w:hAnsi="Times New Roman"/>
                <w:b/>
                <w:sz w:val="24"/>
                <w:szCs w:val="20"/>
              </w:rPr>
              <w:t xml:space="preserve"> </w:t>
            </w:r>
            <w:r>
              <w:rPr>
                <w:rFonts w:ascii="Times New Roman" w:hAnsi="Times New Roman"/>
                <w:sz w:val="24"/>
                <w:szCs w:val="20"/>
              </w:rPr>
              <w:t>Tähän sisältyy kaikki alueellanne myönnetty tuki, myös alue- ja paikallisviranomaisten myöntämä tuki. (</w:t>
            </w:r>
            <w:r>
              <w:rPr>
                <w:rFonts w:ascii="Times New Roman" w:hAnsi="Times New Roman"/>
                <w:b/>
                <w:sz w:val="24"/>
                <w:szCs w:val="20"/>
              </w:rPr>
              <w:t>A+B+C</w:t>
            </w:r>
            <w:r>
              <w:rPr>
                <w:rFonts w:ascii="Times New Roman" w:hAnsi="Times New Roman"/>
                <w:sz w:val="24"/>
                <w:szCs w:val="20"/>
              </w:rPr>
              <w:t>)</w:t>
            </w:r>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A: </w:t>
            </w:r>
            <w:r>
              <w:rPr>
                <w:rFonts w:ascii="Times New Roman" w:hAnsi="Times New Roman"/>
                <w:sz w:val="24"/>
                <w:szCs w:val="20"/>
              </w:rPr>
              <w:t xml:space="preserve">Kansallisten keskusviranomaisten maksaman </w:t>
            </w:r>
            <w:r>
              <w:rPr>
                <w:rFonts w:ascii="Times New Roman" w:hAnsi="Times New Roman"/>
                <w:b/>
                <w:sz w:val="24"/>
                <w:szCs w:val="20"/>
              </w:rPr>
              <w:t>myönnetyn tuen kokonaismäärä (miljoonaa euroa)</w:t>
            </w:r>
            <w:bookmarkStart w:id="1" w:name="_Ref443469630"/>
            <w:r>
              <w:rPr>
                <w:rStyle w:val="FootnoteReference"/>
                <w:rFonts w:ascii="Times New Roman" w:eastAsia="Times New Roman" w:hAnsi="Times New Roman"/>
                <w:sz w:val="24"/>
                <w:szCs w:val="20"/>
              </w:rPr>
              <w:footnoteReference w:id="3"/>
            </w:r>
            <w:bookmarkEnd w:id="1"/>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B: </w:t>
            </w:r>
            <w:r>
              <w:rPr>
                <w:rFonts w:ascii="Times New Roman" w:hAnsi="Times New Roman"/>
                <w:sz w:val="24"/>
                <w:szCs w:val="20"/>
              </w:rPr>
              <w:t xml:space="preserve">Alueviranomaisten maksaman </w:t>
            </w:r>
            <w:r>
              <w:rPr>
                <w:rFonts w:ascii="Times New Roman" w:hAnsi="Times New Roman"/>
                <w:b/>
                <w:sz w:val="24"/>
                <w:szCs w:val="20"/>
              </w:rPr>
              <w:t>myönnetyn tuen kokonaismäärä (miljoonaa euroa)</w:t>
            </w:r>
            <w:r>
              <w:rPr>
                <w:rStyle w:val="FootnoteReference"/>
                <w:rFonts w:ascii="Times New Roman" w:eastAsia="Times New Roman" w:hAnsi="Times New Roman"/>
                <w:sz w:val="24"/>
                <w:szCs w:val="20"/>
              </w:rPr>
              <w:footnoteReference w:id="4"/>
            </w:r>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C: </w:t>
            </w:r>
            <w:r>
              <w:rPr>
                <w:rFonts w:ascii="Times New Roman" w:hAnsi="Times New Roman"/>
                <w:sz w:val="24"/>
                <w:szCs w:val="20"/>
              </w:rPr>
              <w:t xml:space="preserve">Paikallisviranomaisten maksaman </w:t>
            </w:r>
            <w:r>
              <w:rPr>
                <w:rFonts w:ascii="Times New Roman" w:hAnsi="Times New Roman"/>
                <w:b/>
                <w:sz w:val="24"/>
                <w:szCs w:val="20"/>
              </w:rPr>
              <w:t>myönnetyn tuen kokonaismäärä (miljoonaa euroa)</w:t>
            </w:r>
            <w:r>
              <w:rPr>
                <w:rStyle w:val="FootnoteReference"/>
                <w:rFonts w:ascii="Times New Roman" w:eastAsia="Times New Roman" w:hAnsi="Times New Roman"/>
                <w:sz w:val="24"/>
                <w:szCs w:val="20"/>
              </w:rPr>
              <w:footnoteReference w:id="5"/>
            </w:r>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99514A" w:rsidRPr="0099514A" w:rsidTr="00D459EF">
        <w:tc>
          <w:tcPr>
            <w:tcW w:w="8758" w:type="dxa"/>
            <w:gridSpan w:val="2"/>
            <w:tcBorders>
              <w:bottom w:val="single" w:sz="4" w:space="0" w:color="auto"/>
            </w:tcBorders>
            <w:shd w:val="pct5" w:color="auto" w:fill="auto"/>
          </w:tcPr>
          <w:p w:rsidR="0099514A" w:rsidRPr="0099514A" w:rsidRDefault="0099514A" w:rsidP="0092449B">
            <w:pPr>
              <w:rPr>
                <w:rFonts w:ascii="Times New Roman" w:hAnsi="Times New Roman"/>
                <w:b/>
                <w:sz w:val="24"/>
              </w:rPr>
            </w:pPr>
            <w:r>
              <w:rPr>
                <w:rFonts w:ascii="Times New Roman" w:hAnsi="Times New Roman"/>
                <w:b/>
                <w:sz w:val="24"/>
              </w:rPr>
              <w:t>Kunkin tukivälineen</w:t>
            </w:r>
            <w:r>
              <w:rPr>
                <w:rFonts w:ascii="Times New Roman" w:hAnsi="Times New Roman"/>
                <w:sz w:val="24"/>
              </w:rPr>
              <w:t xml:space="preserve"> (suora avustus, takaukset jne.) </w:t>
            </w:r>
            <w:r>
              <w:rPr>
                <w:rFonts w:ascii="Times New Roman" w:hAnsi="Times New Roman"/>
                <w:b/>
                <w:sz w:val="24"/>
              </w:rPr>
              <w:t>osuus menoista</w:t>
            </w:r>
            <w:r>
              <w:rPr>
                <w:rFonts w:ascii="Times New Roman" w:hAnsi="Times New Roman"/>
                <w:sz w:val="24"/>
              </w:rPr>
              <w:t xml:space="preserve"> (jos saatavilla)</w:t>
            </w:r>
          </w:p>
        </w:tc>
      </w:tr>
      <w:tr w:rsidR="0099514A" w:rsidRPr="0099514A" w:rsidTr="00D459EF">
        <w:tc>
          <w:tcPr>
            <w:tcW w:w="4379" w:type="dxa"/>
            <w:tcBorders>
              <w:bottom w:val="single" w:sz="4" w:space="0" w:color="auto"/>
            </w:tcBorders>
            <w:shd w:val="pct5" w:color="auto" w:fill="auto"/>
          </w:tcPr>
          <w:p w:rsidR="0099514A" w:rsidRPr="0099514A" w:rsidRDefault="0099514A" w:rsidP="009428CD">
            <w:pPr>
              <w:spacing w:after="0"/>
              <w:jc w:val="center"/>
              <w:rPr>
                <w:rFonts w:ascii="Times New Roman" w:hAnsi="Times New Roman"/>
                <w:b/>
                <w:sz w:val="24"/>
              </w:rPr>
            </w:pPr>
            <w:r>
              <w:rPr>
                <w:rFonts w:ascii="Times New Roman" w:hAnsi="Times New Roman"/>
                <w:b/>
                <w:sz w:val="24"/>
              </w:rPr>
              <w:t>2020</w:t>
            </w:r>
          </w:p>
        </w:tc>
        <w:tc>
          <w:tcPr>
            <w:tcW w:w="4379" w:type="dxa"/>
            <w:tcBorders>
              <w:bottom w:val="single" w:sz="4" w:space="0" w:color="auto"/>
            </w:tcBorders>
            <w:shd w:val="pct5" w:color="auto" w:fill="auto"/>
          </w:tcPr>
          <w:p w:rsidR="0099514A" w:rsidRPr="0099514A" w:rsidRDefault="0099514A" w:rsidP="009428CD">
            <w:pPr>
              <w:spacing w:after="0"/>
              <w:jc w:val="center"/>
              <w:rPr>
                <w:rFonts w:ascii="Times New Roman" w:hAnsi="Times New Roman"/>
                <w:b/>
                <w:sz w:val="24"/>
              </w:rPr>
            </w:pPr>
            <w:r>
              <w:rPr>
                <w:rFonts w:ascii="Times New Roman" w:hAnsi="Times New Roman"/>
                <w:b/>
                <w:sz w:val="24"/>
              </w:rPr>
              <w:t>2021</w:t>
            </w:r>
          </w:p>
        </w:tc>
      </w:tr>
      <w:tr w:rsidR="0099514A" w:rsidRPr="007C008C" w:rsidTr="00D459EF">
        <w:tc>
          <w:tcPr>
            <w:tcW w:w="4379" w:type="dxa"/>
            <w:tcBorders>
              <w:bottom w:val="single" w:sz="4" w:space="0" w:color="auto"/>
            </w:tcBorders>
            <w:shd w:val="clear" w:color="auto" w:fill="auto"/>
          </w:tcPr>
          <w:p w:rsidR="0099514A" w:rsidRPr="007C008C" w:rsidRDefault="0099514A" w:rsidP="00D459EF">
            <w:pPr>
              <w:rPr>
                <w:b/>
              </w:rPr>
            </w:pPr>
          </w:p>
        </w:tc>
        <w:tc>
          <w:tcPr>
            <w:tcW w:w="4379" w:type="dxa"/>
            <w:tcBorders>
              <w:bottom w:val="single" w:sz="4" w:space="0" w:color="auto"/>
            </w:tcBorders>
            <w:shd w:val="clear" w:color="auto" w:fill="auto"/>
          </w:tcPr>
          <w:p w:rsidR="0099514A" w:rsidRPr="007C008C" w:rsidRDefault="0099514A" w:rsidP="00D459EF">
            <w:pPr>
              <w:rPr>
                <w:b/>
              </w:rPr>
            </w:pPr>
          </w:p>
        </w:tc>
      </w:tr>
      <w:tr w:rsidR="00E73997" w:rsidRPr="00E73997" w:rsidTr="00B804DF">
        <w:tc>
          <w:tcPr>
            <w:tcW w:w="8758" w:type="dxa"/>
            <w:gridSpan w:val="2"/>
            <w:shd w:val="pct5" w:color="auto" w:fill="auto"/>
          </w:tcPr>
          <w:p w:rsidR="00E73997" w:rsidRPr="00E73997" w:rsidRDefault="002E7839" w:rsidP="009428CD">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Muita määrällisiä tietoja</w:t>
            </w:r>
            <w:r>
              <w:rPr>
                <w:rFonts w:ascii="Times New Roman" w:hAnsi="Times New Roman"/>
                <w:sz w:val="24"/>
                <w:szCs w:val="20"/>
              </w:rPr>
              <w:t xml:space="preserve"> (esim. edunsaajien lukumäärä aloittain, keskimääräinen tukimäärä, yritysten koko)</w:t>
            </w:r>
            <w:r>
              <w:rPr>
                <w:rFonts w:ascii="Times New Roman" w:eastAsia="Times New Roman" w:hAnsi="Times New Roman"/>
                <w:sz w:val="24"/>
                <w:szCs w:val="20"/>
                <w:vertAlign w:val="superscript"/>
              </w:rPr>
              <w:footnoteReference w:id="6"/>
            </w:r>
          </w:p>
        </w:tc>
      </w:tr>
      <w:tr w:rsidR="002E7839" w:rsidRPr="00E73997" w:rsidTr="00633490">
        <w:tc>
          <w:tcPr>
            <w:tcW w:w="4379" w:type="dxa"/>
            <w:tcBorders>
              <w:top w:val="single" w:sz="4" w:space="0" w:color="auto"/>
              <w:left w:val="single" w:sz="4" w:space="0" w:color="auto"/>
              <w:bottom w:val="single" w:sz="4" w:space="0" w:color="auto"/>
              <w:right w:val="single" w:sz="4" w:space="0" w:color="auto"/>
            </w:tcBorders>
            <w:shd w:val="clear" w:color="auto" w:fill="F2F2F2"/>
          </w:tcPr>
          <w:p w:rsidR="002E7839" w:rsidRPr="0099514A" w:rsidRDefault="002E7839"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rsidR="002E7839" w:rsidRPr="0099514A" w:rsidRDefault="002E7839"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2E7839" w:rsidRPr="00E73997" w:rsidTr="002E7839">
        <w:tc>
          <w:tcPr>
            <w:tcW w:w="4379" w:type="dxa"/>
            <w:tcBorders>
              <w:top w:val="single" w:sz="4" w:space="0" w:color="auto"/>
              <w:left w:val="single" w:sz="4" w:space="0" w:color="auto"/>
              <w:bottom w:val="single" w:sz="4" w:space="0" w:color="auto"/>
              <w:right w:val="single" w:sz="4" w:space="0" w:color="auto"/>
            </w:tcBorders>
            <w:shd w:val="clear" w:color="auto" w:fill="auto"/>
          </w:tcPr>
          <w:p w:rsidR="002E7839" w:rsidRPr="002E7839" w:rsidRDefault="002E7839" w:rsidP="009428CD">
            <w:pPr>
              <w:keepNext/>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2E7839" w:rsidRPr="002E7839" w:rsidRDefault="002E7839" w:rsidP="009428CD">
            <w:pPr>
              <w:keepNext/>
              <w:spacing w:after="240" w:line="240" w:lineRule="auto"/>
              <w:jc w:val="both"/>
              <w:rPr>
                <w:rFonts w:ascii="Times New Roman" w:eastAsia="Times New Roman" w:hAnsi="Times New Roman"/>
                <w:b/>
                <w:sz w:val="24"/>
                <w:szCs w:val="20"/>
                <w:highlight w:val="yellow"/>
              </w:rPr>
            </w:pPr>
          </w:p>
        </w:tc>
      </w:tr>
    </w:tbl>
    <w:p w:rsidR="00E73997" w:rsidRDefault="00E73997" w:rsidP="00E73997">
      <w:pPr>
        <w:spacing w:after="0" w:line="240" w:lineRule="auto"/>
        <w:rPr>
          <w:rFonts w:ascii="Times New Roman" w:eastAsia="Times New Roman" w:hAnsi="Times New Roman"/>
          <w:b/>
          <w:smallCaps/>
          <w:sz w:val="24"/>
          <w:szCs w:val="20"/>
          <w:lang w:val="ga-IE"/>
        </w:rPr>
      </w:pPr>
    </w:p>
    <w:p w:rsidR="00A86840" w:rsidRPr="00A86840" w:rsidRDefault="00A86840" w:rsidP="00E73997">
      <w:pPr>
        <w:spacing w:after="0" w:line="240" w:lineRule="auto"/>
        <w:rPr>
          <w:rFonts w:ascii="Times New Roman" w:eastAsia="Times New Roman" w:hAnsi="Times New Roman"/>
          <w:b/>
          <w:sz w:val="24"/>
          <w:szCs w:val="20"/>
          <w:u w:val="single"/>
        </w:rPr>
      </w:pPr>
      <w:r>
        <w:rPr>
          <w:rFonts w:ascii="Times New Roman" w:hAnsi="Times New Roman"/>
          <w:b/>
          <w:sz w:val="24"/>
          <w:szCs w:val="20"/>
          <w:u w:val="single"/>
        </w:rPr>
        <w:t xml:space="preserve">Täyttäkää myös liitteenä olevaan Excel-yhteenvetotiedostoon (SGEI Decision 2020_2021) kokonaismäärät kohdittain koko jäsenvaltion osalta (ei alueen, paikallisviranomaisen tai kunnan osalta). </w:t>
      </w:r>
    </w:p>
    <w:p w:rsidR="00A86840" w:rsidRPr="00E73997" w:rsidRDefault="00A86840" w:rsidP="00E73997">
      <w:pPr>
        <w:spacing w:after="0" w:line="240" w:lineRule="auto"/>
        <w:rPr>
          <w:rFonts w:ascii="Times New Roman" w:eastAsia="Times New Roman" w:hAnsi="Times New Roman"/>
          <w:b/>
          <w:smallCaps/>
          <w:sz w:val="24"/>
          <w:szCs w:val="20"/>
          <w:lang w:val="ga-IE"/>
        </w:rPr>
      </w:pPr>
    </w:p>
    <w:p w:rsidR="00E73997" w:rsidRPr="00E73997" w:rsidRDefault="00E73997" w:rsidP="00A64C24">
      <w:pPr>
        <w:keepNex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 xml:space="preserve">Kuvaus </w:t>
      </w:r>
      <w:r>
        <w:rPr>
          <w:rFonts w:ascii="Times New Roman" w:hAnsi="Times New Roman"/>
          <w:b/>
          <w:smallCaps/>
          <w:sz w:val="24"/>
          <w:szCs w:val="20"/>
          <w:u w:val="single"/>
        </w:rPr>
        <w:t>vuonna 2012 annettujen yleisiin taloudellisiin tarkoituksiin liittyviä palveluja koskevien puitteiden</w:t>
      </w:r>
      <w:r>
        <w:rPr>
          <w:rFonts w:ascii="Times New Roman" w:hAnsi="Times New Roman"/>
          <w:b/>
          <w:smallCaps/>
          <w:sz w:val="24"/>
          <w:szCs w:val="20"/>
        </w:rPr>
        <w:t xml:space="preserve"> soveltamisesta </w:t>
      </w:r>
    </w:p>
    <w:p w:rsidR="00E73997" w:rsidRPr="00E73997" w:rsidRDefault="00E73997" w:rsidP="0099514A">
      <w:pPr>
        <w:keepNext/>
        <w:spacing w:after="0" w:line="240" w:lineRule="auto"/>
        <w:rPr>
          <w:rFonts w:ascii="Times New Roman" w:eastAsia="Times New Roman" w:hAnsi="Times New Roman"/>
          <w:b/>
          <w:smallCaps/>
          <w:sz w:val="24"/>
          <w:szCs w:val="20"/>
        </w:rPr>
      </w:pPr>
    </w:p>
    <w:p w:rsidR="00E73997" w:rsidRPr="00E73997" w:rsidRDefault="00E73997" w:rsidP="0099514A">
      <w:pPr>
        <w:keepNext/>
        <w:spacing w:after="240" w:line="240" w:lineRule="auto"/>
        <w:jc w:val="both"/>
        <w:rPr>
          <w:rFonts w:ascii="Times New Roman" w:eastAsia="Times New Roman" w:hAnsi="Times New Roman"/>
          <w:sz w:val="24"/>
          <w:szCs w:val="20"/>
        </w:rPr>
      </w:pPr>
      <w:r>
        <w:rPr>
          <w:rFonts w:ascii="Times New Roman" w:hAnsi="Times New Roman"/>
          <w:b/>
          <w:sz w:val="24"/>
          <w:szCs w:val="20"/>
        </w:rPr>
        <w:t>Noudattakaa kertomuksenne tässä osassa seuraavaa rakennetta:</w:t>
      </w:r>
      <w:r>
        <w:rPr>
          <w:rFonts w:ascii="Times New Roman" w:hAnsi="Times New Roman"/>
          <w:sz w:val="24"/>
          <w:szCs w:val="20"/>
        </w:rPr>
        <w:t xml:space="preserve"> </w:t>
      </w:r>
    </w:p>
    <w:p w:rsidR="00E73997" w:rsidRPr="00E73997" w:rsidRDefault="00E73997" w:rsidP="00A64C24">
      <w:pPr>
        <w:spacing w:after="240" w:line="240" w:lineRule="auto"/>
        <w:jc w:val="both"/>
        <w:rPr>
          <w:rFonts w:ascii="Times New Roman" w:eastAsia="Times New Roman" w:hAnsi="Times New Roman"/>
          <w:sz w:val="24"/>
          <w:szCs w:val="20"/>
        </w:rPr>
      </w:pPr>
      <w:r>
        <w:rPr>
          <w:rFonts w:ascii="Times New Roman" w:hAnsi="Times New Roman"/>
          <w:sz w:val="24"/>
          <w:szCs w:val="20"/>
        </w:rPr>
        <w:t>Yleisiin taloudellisiin tarkoituksiin liittyviä palveluja koskeva yli 15 miljoonan euron korvaus, joka ei kuulu yleisiin taloudellisiin tarkoituksiin liittyviä palveluja koskevan päätöksen soveltamisalaan (ilmoittakaa kunkin toimenpiteen hyväksymisestä annettu komission päätös, jos sellainen on annettu):</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Postipalvelut</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Energia</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Jätteiden keräys</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Vesihuolto</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Lento- ja meriliikenneyhteydet saariin, joiden keskimääräinen vuosittainen matkustajamäärä ylittää 2 artiklan 1 kohdan d alakohdassa vahvistetut kynnysarvot</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Lentoasemat ja satamat, joiden keskimääräinen vuosittainen matkustajamäärä ylittää 2 artiklan 1 kohdan e alakohdassa vahvistetut kynnysarvot</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Kulttuuri </w:t>
      </w:r>
    </w:p>
    <w:p w:rsidR="006B09A1"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Rahoituspalvelut</w:t>
      </w:r>
    </w:p>
    <w:p w:rsidR="000F7391" w:rsidRPr="00785C47" w:rsidRDefault="00F57820" w:rsidP="00B16DEB">
      <w:pPr>
        <w:numPr>
          <w:ilvl w:val="1"/>
          <w:numId w:val="5"/>
        </w:numPr>
        <w:spacing w:after="240" w:line="240" w:lineRule="auto"/>
        <w:jc w:val="both"/>
        <w:rPr>
          <w:rFonts w:ascii="Times New Roman" w:eastAsia="Times New Roman" w:hAnsi="Times New Roman"/>
          <w:sz w:val="24"/>
          <w:szCs w:val="20"/>
        </w:rPr>
      </w:pPr>
      <w:r w:rsidRPr="00785C47">
        <w:rPr>
          <w:rFonts w:ascii="Times New Roman" w:hAnsi="Times New Roman"/>
          <w:sz w:val="24"/>
          <w:szCs w:val="20"/>
        </w:rPr>
        <w:t>Muut alat (täsmentäkää)</w:t>
      </w:r>
    </w:p>
    <w:p w:rsidR="00785C47" w:rsidRDefault="00785C47" w:rsidP="00E73997">
      <w:pPr>
        <w:spacing w:after="240" w:line="240" w:lineRule="auto"/>
        <w:jc w:val="both"/>
        <w:rPr>
          <w:rFonts w:ascii="Times New Roman" w:hAnsi="Times New Roman"/>
          <w:b/>
          <w:sz w:val="24"/>
          <w:szCs w:val="20"/>
        </w:rPr>
      </w:pPr>
    </w:p>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Antakaa kustakin edellä mainitusta kohdasta tietoja seuraavan taulukon mukaisessa muodossa: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A105BE" w:rsidRPr="00E73997" w:rsidTr="00D459EF">
        <w:tc>
          <w:tcPr>
            <w:tcW w:w="8758" w:type="dxa"/>
            <w:gridSpan w:val="2"/>
            <w:tcBorders>
              <w:bottom w:val="single" w:sz="4" w:space="0" w:color="auto"/>
            </w:tcBorders>
            <w:shd w:val="clear" w:color="auto" w:fill="BFBFBF"/>
          </w:tcPr>
          <w:p w:rsidR="00A105BE" w:rsidRPr="00E73997" w:rsidRDefault="00A105BE" w:rsidP="00D459EF">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Kohta (esimerkiksi iii. Jätteiden keräys tai viii. Rahoituspalvelut)</w:t>
            </w:r>
          </w:p>
        </w:tc>
      </w:tr>
      <w:tr w:rsidR="00A105BE" w:rsidRPr="00E73997" w:rsidTr="00A105BE">
        <w:tc>
          <w:tcPr>
            <w:tcW w:w="8758" w:type="dxa"/>
            <w:gridSpan w:val="2"/>
            <w:tcBorders>
              <w:bottom w:val="single" w:sz="4" w:space="0" w:color="auto"/>
            </w:tcBorders>
            <w:shd w:val="clear" w:color="auto" w:fill="auto"/>
          </w:tcPr>
          <w:p w:rsidR="00A105BE" w:rsidRPr="00E73997" w:rsidRDefault="00A105BE" w:rsidP="00D459EF">
            <w:pPr>
              <w:keepNext/>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tcBorders>
              <w:bottom w:val="single" w:sz="4" w:space="0" w:color="auto"/>
            </w:tcBorders>
            <w:shd w:val="clear" w:color="auto" w:fill="BFBFBF"/>
          </w:tcPr>
          <w:p w:rsidR="007B595C" w:rsidRPr="00E73997" w:rsidRDefault="007B595C" w:rsidP="00D459EF">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Selkeä ja kattava kuvaus siitä, miten kyseiset palvelut on järjestetty jäsenvaltiossanne</w:t>
            </w:r>
            <w:r>
              <w:rPr>
                <w:rFonts w:ascii="Times New Roman" w:eastAsia="Times New Roman" w:hAnsi="Times New Roman"/>
                <w:b/>
                <w:sz w:val="24"/>
                <w:szCs w:val="20"/>
                <w:vertAlign w:val="superscript"/>
              </w:rPr>
              <w:footnoteReference w:id="7"/>
            </w:r>
          </w:p>
        </w:tc>
      </w:tr>
      <w:tr w:rsidR="007B595C" w:rsidRPr="007D2B69" w:rsidTr="00D459EF">
        <w:tc>
          <w:tcPr>
            <w:tcW w:w="8758" w:type="dxa"/>
            <w:gridSpan w:val="2"/>
            <w:shd w:val="clear" w:color="auto" w:fill="F2F2F2"/>
          </w:tcPr>
          <w:p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Selvitys siitä, millaiset palvelut kyseisellä alalla on määritelty yleisiin taloudellisiin tarkoituksiin liittyviksi palveluiksi jäsenvaltiossanne. Luetelkaa </w:t>
            </w:r>
            <w:r>
              <w:rPr>
                <w:rFonts w:ascii="Times New Roman" w:hAnsi="Times New Roman"/>
                <w:b/>
                <w:sz w:val="24"/>
                <w:szCs w:val="20"/>
              </w:rPr>
              <w:t>yleisiin taloudellisiin tarkoituksiin liittyviksi palveluiksi luokiteltujen palvelujen sisältö</w:t>
            </w:r>
            <w:r>
              <w:rPr>
                <w:rFonts w:ascii="Times New Roman" w:hAnsi="Times New Roman"/>
                <w:sz w:val="24"/>
                <w:szCs w:val="20"/>
              </w:rPr>
              <w:t xml:space="preserve"> mahdollisimman selkeästi.</w:t>
            </w:r>
          </w:p>
        </w:tc>
      </w:tr>
      <w:tr w:rsidR="007B595C" w:rsidRPr="00E73997" w:rsidTr="0099514A">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Selvitys (tavanomaisista) </w:t>
            </w:r>
            <w:r>
              <w:rPr>
                <w:rFonts w:ascii="Times New Roman" w:hAnsi="Times New Roman"/>
                <w:b/>
                <w:sz w:val="24"/>
                <w:szCs w:val="20"/>
              </w:rPr>
              <w:t>toimeksiannon muodoista</w:t>
            </w:r>
            <w:r>
              <w:rPr>
                <w:rFonts w:ascii="Times New Roman" w:hAnsi="Times New Roman"/>
                <w:sz w:val="24"/>
                <w:szCs w:val="20"/>
              </w:rPr>
              <w:t>. Jos tietyllä alalla käytetään vakiomuotoisia toimeksiantomalleja, liittäkää ne mukaan.</w:t>
            </w:r>
            <w:r>
              <w:t xml:space="preserve"> </w:t>
            </w:r>
          </w:p>
        </w:tc>
      </w:tr>
      <w:tr w:rsidR="007B595C" w:rsidRPr="00E7399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shd w:val="clear" w:color="auto" w:fill="F2F2F2"/>
          </w:tcPr>
          <w:p w:rsidR="007B595C" w:rsidRPr="00E73997" w:rsidRDefault="007B595C"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Toimeksiannon keskimääräinen kesto (vuosina)</w:t>
            </w:r>
            <w:r>
              <w:rPr>
                <w:rFonts w:ascii="Times New Roman" w:hAnsi="Times New Roman"/>
                <w:sz w:val="24"/>
                <w:szCs w:val="20"/>
              </w:rPr>
              <w:t xml:space="preserve"> ja </w:t>
            </w:r>
            <w:r>
              <w:rPr>
                <w:rFonts w:ascii="Times New Roman" w:hAnsi="Times New Roman"/>
                <w:b/>
                <w:sz w:val="24"/>
                <w:szCs w:val="20"/>
              </w:rPr>
              <w:t>yli kymmenen vuotta</w:t>
            </w:r>
            <w:r>
              <w:rPr>
                <w:rFonts w:ascii="Times New Roman" w:hAnsi="Times New Roman"/>
                <w:sz w:val="24"/>
                <w:szCs w:val="20"/>
              </w:rPr>
              <w:t xml:space="preserve"> kestävien toimeksiantojen osuus (%) aloittain. Täsmentäkää, millä aloilla yleisiin taloudellisiin tarkoituksiin liittyviä palveluja on annettu tehtäväksi yli kymmenen vuotta kestävillä toimeksiannoilla, ja selittäkää, miksi toimeksiannon kesto on perusteltu.</w:t>
            </w:r>
          </w:p>
        </w:tc>
      </w:tr>
      <w:tr w:rsidR="007B595C" w:rsidRPr="00E73997" w:rsidTr="00D459EF">
        <w:tc>
          <w:tcPr>
            <w:tcW w:w="8758" w:type="dxa"/>
            <w:gridSpan w:val="2"/>
            <w:tcBorders>
              <w:bottom w:val="single" w:sz="4" w:space="0" w:color="auto"/>
            </w:tcBorders>
            <w:shd w:val="clear" w:color="auto" w:fill="auto"/>
          </w:tcPr>
          <w:p w:rsidR="007B595C" w:rsidRPr="00E73997" w:rsidRDefault="007B595C" w:rsidP="0099514A">
            <w:pPr>
              <w:keepNext/>
              <w:spacing w:after="240" w:line="240" w:lineRule="auto"/>
              <w:jc w:val="both"/>
              <w:rPr>
                <w:rFonts w:ascii="Times New Roman" w:eastAsia="Times New Roman" w:hAnsi="Times New Roman"/>
                <w:b/>
                <w:sz w:val="24"/>
                <w:szCs w:val="20"/>
              </w:rPr>
            </w:pPr>
          </w:p>
        </w:tc>
      </w:tr>
      <w:tr w:rsidR="007B595C" w:rsidRPr="007D2B69" w:rsidTr="00D459EF">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Selvitys siitä, annetaanko yrityksille (tavallisesti) </w:t>
            </w:r>
            <w:r>
              <w:rPr>
                <w:rFonts w:ascii="Times New Roman" w:hAnsi="Times New Roman"/>
                <w:b/>
                <w:sz w:val="24"/>
                <w:szCs w:val="20"/>
              </w:rPr>
              <w:t>yksinoikeuksia tai erityisoikeuksia</w:t>
            </w:r>
            <w:r>
              <w:rPr>
                <w:rFonts w:ascii="Times New Roman" w:hAnsi="Times New Roman"/>
                <w:sz w:val="24"/>
                <w:szCs w:val="20"/>
              </w:rPr>
              <w:t>.</w:t>
            </w:r>
          </w:p>
        </w:tc>
      </w:tr>
      <w:tr w:rsidR="007B595C" w:rsidRPr="00E7399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7D2B69" w:rsidTr="00D459EF">
        <w:tc>
          <w:tcPr>
            <w:tcW w:w="8758" w:type="dxa"/>
            <w:gridSpan w:val="2"/>
            <w:shd w:val="clear" w:color="auto" w:fill="F2F2F2"/>
          </w:tcPr>
          <w:p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Mitä </w:t>
            </w:r>
            <w:r>
              <w:rPr>
                <w:rFonts w:ascii="Times New Roman" w:hAnsi="Times New Roman"/>
                <w:b/>
                <w:sz w:val="24"/>
                <w:szCs w:val="20"/>
              </w:rPr>
              <w:t>tukivälineitä</w:t>
            </w:r>
            <w:r>
              <w:rPr>
                <w:rFonts w:ascii="Times New Roman" w:hAnsi="Times New Roman"/>
                <w:sz w:val="24"/>
                <w:szCs w:val="20"/>
              </w:rPr>
              <w:t xml:space="preserve"> on käytetty (suorat avustukset, takaukset jne.)?</w:t>
            </w:r>
          </w:p>
        </w:tc>
      </w:tr>
      <w:tr w:rsidR="007B595C" w:rsidRPr="00E73997" w:rsidTr="00D459EF">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shd w:val="clear" w:color="auto" w:fill="F2F2F2"/>
          </w:tcPr>
          <w:p w:rsidR="007B595C" w:rsidRPr="00E73997"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Kyseessä olevia palveluja koskeva tavanomainen </w:t>
            </w:r>
            <w:r>
              <w:rPr>
                <w:rFonts w:ascii="Times New Roman" w:hAnsi="Times New Roman"/>
                <w:b/>
                <w:sz w:val="24"/>
                <w:szCs w:val="20"/>
              </w:rPr>
              <w:t>korvausjärjestelmä</w:t>
            </w:r>
            <w:r>
              <w:rPr>
                <w:rFonts w:ascii="Times New Roman" w:hAnsi="Times New Roman"/>
                <w:sz w:val="24"/>
                <w:szCs w:val="20"/>
              </w:rPr>
              <w:t xml:space="preserve"> ja tieto siitä, perustuuko käytetty menetelmä kustannusten kohdentamiseen vai vältettyihin nettokustannuksiin.</w:t>
            </w:r>
          </w:p>
        </w:tc>
      </w:tr>
      <w:tr w:rsidR="007B595C" w:rsidRPr="00E73997" w:rsidTr="00D459EF">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shd w:val="clear" w:color="auto" w:fill="F2F2F2"/>
          </w:tcPr>
          <w:p w:rsidR="007B595C" w:rsidRPr="00E73997"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Tavanomaiset </w:t>
            </w:r>
            <w:r>
              <w:rPr>
                <w:rFonts w:ascii="Times New Roman" w:hAnsi="Times New Roman"/>
                <w:b/>
                <w:sz w:val="24"/>
                <w:szCs w:val="20"/>
              </w:rPr>
              <w:t>järjestelyt liiallisten korvausten välttämiseksi ja takaisin maksamiseksi</w:t>
            </w:r>
            <w:r>
              <w:rPr>
                <w:rFonts w:ascii="Times New Roman" w:hAnsi="Times New Roman"/>
                <w:sz w:val="24"/>
                <w:szCs w:val="20"/>
              </w:rPr>
              <w:t>.</w:t>
            </w:r>
          </w:p>
        </w:tc>
      </w:tr>
      <w:tr w:rsidR="007B595C" w:rsidRPr="00E73997" w:rsidTr="00AE245E">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9428CD" w:rsidRPr="00E73997" w:rsidTr="009428CD">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9428CD" w:rsidRPr="009428CD" w:rsidRDefault="009428CD" w:rsidP="0028684D">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Lyhyt selvitys siitä, miten </w:t>
            </w:r>
            <w:r>
              <w:rPr>
                <w:rFonts w:ascii="Times New Roman" w:hAnsi="Times New Roman"/>
                <w:b/>
                <w:sz w:val="24"/>
                <w:szCs w:val="20"/>
              </w:rPr>
              <w:t>avoimuutta koskevia vaatimuksia</w:t>
            </w:r>
            <w:r>
              <w:rPr>
                <w:rFonts w:ascii="Times New Roman" w:hAnsi="Times New Roman"/>
                <w:sz w:val="24"/>
                <w:szCs w:val="20"/>
              </w:rPr>
              <w:t xml:space="preserve"> (ks. vuoden 2012 puitteiden 60 kohta) noudatetaan. Esittäkää vastauksessanne myös asiaan liittyviä esimerkkejä tätä tarkoitusta varten julkaistuista tiedoista (esim. linkkejä verkkosivuille tai muita viittauksia). Ilmoittakaa myös, onko teillä keskitetty verkkosivusto, jolla julkaisette nämä tiedot kaikista tukitoimenpiteistä jäsenvaltiossanne (ja jos on, lisätkää linkki kyseiselle verkkosivustolle), tai jos julkaiseminen tapahtuu tuen myöntäjän tasolla (keskus-, alue- tai paikallistasolla), selittäkää, miten tiedot julkaistaan.</w:t>
            </w:r>
          </w:p>
        </w:tc>
      </w:tr>
      <w:tr w:rsidR="009428CD" w:rsidRPr="00E73997" w:rsidTr="009428CD">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9428CD" w:rsidRPr="00E73997" w:rsidRDefault="009428CD" w:rsidP="009428CD">
            <w:pPr>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BFBFBF"/>
          </w:tcPr>
          <w:p w:rsidR="00AE245E" w:rsidRPr="00E73997" w:rsidRDefault="00AE245E" w:rsidP="00AE245E">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Myönnetyn tuen määrä</w:t>
            </w:r>
          </w:p>
        </w:tc>
      </w:tr>
      <w:tr w:rsidR="00AE245E" w:rsidRPr="00E73997" w:rsidTr="00AE245E">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AE245E" w:rsidRPr="00AE245E" w:rsidRDefault="00AE245E" w:rsidP="00AE245E">
            <w:pPr>
              <w:spacing w:after="240" w:line="240" w:lineRule="auto"/>
              <w:jc w:val="both"/>
              <w:rPr>
                <w:rFonts w:ascii="Times New Roman" w:eastAsia="Times New Roman" w:hAnsi="Times New Roman"/>
                <w:b/>
                <w:sz w:val="24"/>
                <w:szCs w:val="20"/>
              </w:rPr>
            </w:pPr>
            <w:r>
              <w:rPr>
                <w:rFonts w:ascii="Times New Roman" w:hAnsi="Times New Roman"/>
                <w:b/>
                <w:sz w:val="24"/>
                <w:szCs w:val="20"/>
              </w:rPr>
              <w:t>Myönnetyn tuen kokonaismäärä (miljoonaa euroa)</w:t>
            </w:r>
            <w:r>
              <w:rPr>
                <w:rFonts w:ascii="Times New Roman" w:eastAsia="Times New Roman" w:hAnsi="Times New Roman"/>
                <w:b/>
                <w:sz w:val="24"/>
                <w:szCs w:val="20"/>
                <w:vertAlign w:val="superscript"/>
              </w:rPr>
              <w:footnoteReference w:id="8"/>
            </w:r>
            <w:r>
              <w:rPr>
                <w:rFonts w:ascii="Times New Roman" w:hAnsi="Times New Roman"/>
                <w:b/>
                <w:sz w:val="24"/>
                <w:szCs w:val="20"/>
              </w:rPr>
              <w:t>. Tähän sisältyy kaikki alueellanne myönnetty tuki, myös alue- ja paikallisviranomaisten myöntämä tuki. (A+B+C)</w:t>
            </w:r>
          </w:p>
        </w:tc>
      </w:tr>
      <w:tr w:rsidR="00AE245E" w:rsidRPr="00E73997" w:rsidTr="00D459EF">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shd w:val="clear" w:color="auto" w:fill="F2F2F2"/>
          </w:tcPr>
          <w:p w:rsidR="00AE245E" w:rsidRPr="00E73997" w:rsidRDefault="00AE245E" w:rsidP="00D459EF">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A: </w:t>
            </w:r>
            <w:r>
              <w:rPr>
                <w:rFonts w:ascii="Times New Roman" w:hAnsi="Times New Roman"/>
                <w:sz w:val="24"/>
                <w:szCs w:val="20"/>
              </w:rPr>
              <w:t xml:space="preserve">Kansallisten keskusviranomaisten maksaman </w:t>
            </w:r>
            <w:r>
              <w:rPr>
                <w:rFonts w:ascii="Times New Roman" w:hAnsi="Times New Roman"/>
                <w:b/>
                <w:sz w:val="24"/>
                <w:szCs w:val="20"/>
              </w:rPr>
              <w:t>myönnetyn tuen kokonaismäärä (miljoonaa euroa)</w:t>
            </w:r>
            <w:bookmarkStart w:id="2" w:name="_Ref443469914"/>
            <w:r>
              <w:rPr>
                <w:rStyle w:val="FootnoteReference"/>
                <w:rFonts w:ascii="Times New Roman" w:eastAsia="Times New Roman" w:hAnsi="Times New Roman"/>
                <w:sz w:val="24"/>
                <w:szCs w:val="20"/>
              </w:rPr>
              <w:footnoteReference w:id="9"/>
            </w:r>
            <w:bookmarkEnd w:id="2"/>
          </w:p>
        </w:tc>
      </w:tr>
      <w:tr w:rsidR="00AE245E" w:rsidRPr="00E73997" w:rsidTr="00D459EF">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shd w:val="clear" w:color="auto" w:fill="F2F2F2"/>
          </w:tcPr>
          <w:p w:rsidR="00AE245E" w:rsidRPr="00E73997" w:rsidRDefault="00AE245E" w:rsidP="009428CD">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B: </w:t>
            </w:r>
            <w:r>
              <w:rPr>
                <w:rFonts w:ascii="Times New Roman" w:hAnsi="Times New Roman"/>
                <w:sz w:val="24"/>
                <w:szCs w:val="20"/>
              </w:rPr>
              <w:t xml:space="preserve">Alueviranomaisten maksaman </w:t>
            </w:r>
            <w:r>
              <w:rPr>
                <w:rFonts w:ascii="Times New Roman" w:hAnsi="Times New Roman"/>
                <w:b/>
                <w:sz w:val="24"/>
                <w:szCs w:val="20"/>
              </w:rPr>
              <w:t>myönnetyn tuen kokonaismäärä (miljoonaa euroa)</w:t>
            </w:r>
            <w:r>
              <w:rPr>
                <w:rStyle w:val="FootnoteReference"/>
                <w:rFonts w:ascii="Times New Roman" w:eastAsia="Times New Roman" w:hAnsi="Times New Roman"/>
                <w:sz w:val="24"/>
                <w:szCs w:val="20"/>
              </w:rPr>
              <w:footnoteReference w:id="10"/>
            </w:r>
          </w:p>
        </w:tc>
      </w:tr>
      <w:tr w:rsidR="00AE245E" w:rsidRPr="00E73997" w:rsidTr="00D459EF">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9428CD">
            <w:pPr>
              <w:keepNext/>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9428CD">
            <w:pPr>
              <w:keepNext/>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shd w:val="clear" w:color="auto" w:fill="F2F2F2"/>
          </w:tcPr>
          <w:p w:rsidR="00AE245E" w:rsidRPr="00E73997" w:rsidRDefault="00AE245E" w:rsidP="00AE245E">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C: </w:t>
            </w:r>
            <w:r>
              <w:rPr>
                <w:rFonts w:ascii="Times New Roman" w:hAnsi="Times New Roman"/>
                <w:sz w:val="24"/>
                <w:szCs w:val="20"/>
              </w:rPr>
              <w:t xml:space="preserve">Paikallisviranomaisten maksaman </w:t>
            </w:r>
            <w:r>
              <w:rPr>
                <w:rFonts w:ascii="Times New Roman" w:hAnsi="Times New Roman"/>
                <w:b/>
                <w:sz w:val="24"/>
                <w:szCs w:val="20"/>
              </w:rPr>
              <w:t>myönnetyn tuen kokonaismäärä (miljoonaa euroa)</w:t>
            </w:r>
            <w:r>
              <w:rPr>
                <w:rStyle w:val="FootnoteReference"/>
                <w:rFonts w:ascii="Times New Roman" w:eastAsia="Times New Roman" w:hAnsi="Times New Roman"/>
                <w:sz w:val="24"/>
                <w:szCs w:val="20"/>
              </w:rPr>
              <w:footnoteReference w:id="11"/>
            </w:r>
          </w:p>
        </w:tc>
      </w:tr>
      <w:tr w:rsidR="00AE245E" w:rsidRPr="00E73997" w:rsidTr="00D459EF">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99514A" w:rsidTr="00D459EF">
        <w:tc>
          <w:tcPr>
            <w:tcW w:w="8758" w:type="dxa"/>
            <w:gridSpan w:val="2"/>
            <w:tcBorders>
              <w:bottom w:val="single" w:sz="4" w:space="0" w:color="auto"/>
            </w:tcBorders>
            <w:shd w:val="pct5" w:color="auto" w:fill="auto"/>
          </w:tcPr>
          <w:p w:rsidR="00AE245E" w:rsidRPr="0099514A" w:rsidRDefault="00AE245E" w:rsidP="005135C9">
            <w:pPr>
              <w:rPr>
                <w:rFonts w:ascii="Times New Roman" w:hAnsi="Times New Roman"/>
                <w:b/>
                <w:sz w:val="24"/>
              </w:rPr>
            </w:pPr>
            <w:r>
              <w:rPr>
                <w:rFonts w:ascii="Times New Roman" w:hAnsi="Times New Roman"/>
                <w:b/>
                <w:sz w:val="24"/>
              </w:rPr>
              <w:t>Kunkin tukivälineen</w:t>
            </w:r>
            <w:r>
              <w:rPr>
                <w:rFonts w:ascii="Times New Roman" w:hAnsi="Times New Roman"/>
                <w:sz w:val="24"/>
              </w:rPr>
              <w:t xml:space="preserve"> (suora avustus, takaukset jne.) </w:t>
            </w:r>
            <w:r>
              <w:rPr>
                <w:rFonts w:ascii="Times New Roman" w:hAnsi="Times New Roman"/>
                <w:b/>
                <w:sz w:val="24"/>
              </w:rPr>
              <w:t>osuus menoista</w:t>
            </w:r>
            <w:r>
              <w:rPr>
                <w:rFonts w:ascii="Times New Roman" w:hAnsi="Times New Roman"/>
                <w:sz w:val="24"/>
              </w:rPr>
              <w:t xml:space="preserve"> (jos saatavilla)</w:t>
            </w:r>
          </w:p>
        </w:tc>
      </w:tr>
      <w:tr w:rsidR="00AE245E" w:rsidRPr="0099514A" w:rsidTr="00D459EF">
        <w:tc>
          <w:tcPr>
            <w:tcW w:w="4379" w:type="dxa"/>
            <w:tcBorders>
              <w:bottom w:val="single" w:sz="4" w:space="0" w:color="auto"/>
            </w:tcBorders>
            <w:shd w:val="pct5" w:color="auto" w:fill="auto"/>
          </w:tcPr>
          <w:p w:rsidR="00AE245E" w:rsidRPr="0099514A" w:rsidRDefault="00AE245E" w:rsidP="009428CD">
            <w:pPr>
              <w:spacing w:after="0"/>
              <w:jc w:val="center"/>
              <w:rPr>
                <w:rFonts w:ascii="Times New Roman" w:hAnsi="Times New Roman"/>
                <w:b/>
                <w:sz w:val="24"/>
              </w:rPr>
            </w:pPr>
            <w:r>
              <w:rPr>
                <w:rFonts w:ascii="Times New Roman" w:hAnsi="Times New Roman"/>
                <w:b/>
                <w:sz w:val="24"/>
              </w:rPr>
              <w:t>2020</w:t>
            </w:r>
          </w:p>
        </w:tc>
        <w:tc>
          <w:tcPr>
            <w:tcW w:w="4379" w:type="dxa"/>
            <w:tcBorders>
              <w:bottom w:val="single" w:sz="4" w:space="0" w:color="auto"/>
            </w:tcBorders>
            <w:shd w:val="pct5" w:color="auto" w:fill="auto"/>
          </w:tcPr>
          <w:p w:rsidR="00AE245E" w:rsidRPr="0099514A" w:rsidRDefault="00AE245E" w:rsidP="009428CD">
            <w:pPr>
              <w:spacing w:after="0"/>
              <w:jc w:val="center"/>
              <w:rPr>
                <w:rFonts w:ascii="Times New Roman" w:hAnsi="Times New Roman"/>
                <w:b/>
                <w:sz w:val="24"/>
              </w:rPr>
            </w:pPr>
            <w:r>
              <w:rPr>
                <w:rFonts w:ascii="Times New Roman" w:hAnsi="Times New Roman"/>
                <w:b/>
                <w:sz w:val="24"/>
              </w:rPr>
              <w:t>2021</w:t>
            </w:r>
          </w:p>
        </w:tc>
      </w:tr>
      <w:tr w:rsidR="00AE245E" w:rsidRPr="007C008C" w:rsidTr="00D459EF">
        <w:tc>
          <w:tcPr>
            <w:tcW w:w="4379" w:type="dxa"/>
            <w:tcBorders>
              <w:bottom w:val="single" w:sz="4" w:space="0" w:color="auto"/>
            </w:tcBorders>
            <w:shd w:val="clear" w:color="auto" w:fill="auto"/>
          </w:tcPr>
          <w:p w:rsidR="00AE245E" w:rsidRPr="007C008C" w:rsidRDefault="00AE245E" w:rsidP="00D459EF">
            <w:pPr>
              <w:rPr>
                <w:b/>
              </w:rPr>
            </w:pPr>
          </w:p>
        </w:tc>
        <w:tc>
          <w:tcPr>
            <w:tcW w:w="4379" w:type="dxa"/>
            <w:tcBorders>
              <w:bottom w:val="single" w:sz="4" w:space="0" w:color="auto"/>
            </w:tcBorders>
            <w:shd w:val="clear" w:color="auto" w:fill="auto"/>
          </w:tcPr>
          <w:p w:rsidR="00AE245E" w:rsidRPr="007C008C" w:rsidRDefault="00AE245E" w:rsidP="00D459EF">
            <w:pPr>
              <w:rPr>
                <w:b/>
              </w:rPr>
            </w:pPr>
          </w:p>
        </w:tc>
      </w:tr>
      <w:tr w:rsidR="00AE245E" w:rsidRPr="00E73997" w:rsidTr="00D459EF">
        <w:tc>
          <w:tcPr>
            <w:tcW w:w="8758" w:type="dxa"/>
            <w:gridSpan w:val="2"/>
            <w:shd w:val="pct5"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r>
              <w:rPr>
                <w:rFonts w:ascii="Times New Roman" w:hAnsi="Times New Roman"/>
                <w:b/>
                <w:sz w:val="24"/>
                <w:szCs w:val="20"/>
              </w:rPr>
              <w:t>Muita määrällisiä tietoja</w:t>
            </w:r>
            <w:r>
              <w:rPr>
                <w:rFonts w:ascii="Times New Roman" w:hAnsi="Times New Roman"/>
                <w:sz w:val="24"/>
                <w:szCs w:val="20"/>
              </w:rPr>
              <w:t xml:space="preserve"> (esim. edunsaajien lukumäärä aloittain, keskimääräinen tukimäärä, yritysten koko)</w:t>
            </w:r>
            <w:r>
              <w:rPr>
                <w:rFonts w:ascii="Times New Roman" w:eastAsia="Times New Roman" w:hAnsi="Times New Roman"/>
                <w:sz w:val="24"/>
                <w:szCs w:val="20"/>
                <w:vertAlign w:val="superscript"/>
              </w:rPr>
              <w:footnoteReference w:id="12"/>
            </w:r>
          </w:p>
        </w:tc>
      </w:tr>
      <w:tr w:rsidR="00AE245E" w:rsidRPr="00E73997" w:rsidTr="00D459EF">
        <w:tc>
          <w:tcPr>
            <w:tcW w:w="4379" w:type="dxa"/>
            <w:tcBorders>
              <w:top w:val="single" w:sz="4" w:space="0" w:color="auto"/>
              <w:left w:val="single" w:sz="4" w:space="0" w:color="auto"/>
              <w:bottom w:val="single" w:sz="4" w:space="0" w:color="auto"/>
              <w:right w:val="single" w:sz="4" w:space="0" w:color="auto"/>
            </w:tcBorders>
            <w:shd w:val="clear" w:color="auto" w:fill="F2F2F2"/>
          </w:tcPr>
          <w:p w:rsidR="00AE245E" w:rsidRPr="0099514A"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rsidR="00AE245E" w:rsidRPr="0099514A"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top w:val="single" w:sz="4" w:space="0" w:color="auto"/>
              <w:left w:val="single" w:sz="4" w:space="0" w:color="auto"/>
              <w:bottom w:val="single" w:sz="4" w:space="0" w:color="auto"/>
              <w:right w:val="single" w:sz="4" w:space="0" w:color="auto"/>
            </w:tcBorders>
            <w:shd w:val="clear" w:color="auto" w:fill="auto"/>
          </w:tcPr>
          <w:p w:rsidR="00AE245E" w:rsidRPr="002E7839" w:rsidRDefault="00AE245E" w:rsidP="00D459EF">
            <w:pPr>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AE245E" w:rsidRPr="002E7839" w:rsidRDefault="00AE245E" w:rsidP="00D459EF">
            <w:pPr>
              <w:spacing w:after="240" w:line="240" w:lineRule="auto"/>
              <w:jc w:val="both"/>
              <w:rPr>
                <w:rFonts w:ascii="Times New Roman" w:eastAsia="Times New Roman" w:hAnsi="Times New Roman"/>
                <w:b/>
                <w:sz w:val="24"/>
                <w:szCs w:val="20"/>
                <w:highlight w:val="yellow"/>
              </w:rPr>
            </w:pPr>
          </w:p>
        </w:tc>
      </w:tr>
    </w:tbl>
    <w:p w:rsidR="00E73997" w:rsidRDefault="00E73997" w:rsidP="00E73997">
      <w:pPr>
        <w:spacing w:after="240" w:line="240" w:lineRule="auto"/>
        <w:jc w:val="both"/>
        <w:rPr>
          <w:rFonts w:ascii="Times New Roman" w:eastAsia="Times New Roman" w:hAnsi="Times New Roman"/>
          <w:b/>
          <w:sz w:val="24"/>
          <w:szCs w:val="20"/>
        </w:rPr>
      </w:pPr>
    </w:p>
    <w:p w:rsidR="00A86840" w:rsidRPr="00A86840" w:rsidRDefault="00A86840" w:rsidP="00A86840">
      <w:pPr>
        <w:spacing w:after="0" w:line="240" w:lineRule="auto"/>
        <w:rPr>
          <w:rFonts w:ascii="Times New Roman" w:eastAsia="Times New Roman" w:hAnsi="Times New Roman"/>
          <w:b/>
          <w:sz w:val="24"/>
          <w:szCs w:val="20"/>
          <w:u w:val="single"/>
        </w:rPr>
      </w:pPr>
      <w:r>
        <w:rPr>
          <w:rFonts w:ascii="Times New Roman" w:hAnsi="Times New Roman"/>
          <w:b/>
          <w:sz w:val="24"/>
          <w:szCs w:val="20"/>
          <w:u w:val="single"/>
        </w:rPr>
        <w:t xml:space="preserve">Täyttäkää myös liitteenä olevaan Excel-yhteenvetotiedostoon (SGEI Framework 2020_2021) kokonaismäärät kohdittain koko jäsenvaltion osalta (ei alueen, paikallisviranomaisen tai kunnan osalta). </w:t>
      </w:r>
    </w:p>
    <w:p w:rsidR="00A86840" w:rsidRPr="00A64C24" w:rsidRDefault="00A86840" w:rsidP="00E73997">
      <w:pPr>
        <w:spacing w:after="240" w:line="240" w:lineRule="auto"/>
        <w:jc w:val="both"/>
        <w:rPr>
          <w:rFonts w:ascii="Times New Roman" w:eastAsia="Times New Roman" w:hAnsi="Times New Roman"/>
          <w:b/>
          <w:sz w:val="24"/>
          <w:szCs w:val="20"/>
          <w:lang w:val="ga-IE"/>
        </w:rPr>
      </w:pPr>
    </w:p>
    <w:p w:rsidR="00AE245E" w:rsidRPr="00E73997" w:rsidRDefault="00AE245E"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Kolmansien osapuolten kantelut</w:t>
      </w:r>
    </w:p>
    <w:p w:rsidR="00AE245E" w:rsidRDefault="00AE245E" w:rsidP="00AE245E">
      <w:pPr>
        <w:spacing w:after="0" w:line="240" w:lineRule="auto"/>
        <w:jc w:val="both"/>
        <w:rPr>
          <w:rFonts w:ascii="Times New Roman" w:eastAsia="Times New Roman" w:hAnsi="Times New Roman"/>
          <w:b/>
          <w:sz w:val="24"/>
          <w:szCs w:val="20"/>
        </w:rPr>
      </w:pPr>
    </w:p>
    <w:p w:rsidR="00AE245E" w:rsidRDefault="00AE245E" w:rsidP="00AE245E">
      <w:pPr>
        <w:jc w:val="both"/>
        <w:rPr>
          <w:rFonts w:ascii="Times New Roman" w:hAnsi="Times New Roman"/>
          <w:sz w:val="24"/>
        </w:rPr>
      </w:pPr>
      <w:r>
        <w:rPr>
          <w:rFonts w:ascii="Times New Roman" w:hAnsi="Times New Roman"/>
          <w:sz w:val="24"/>
        </w:rPr>
        <w:t>Esittäkää yleiskatsaus vuoden 2012 päätöksen tai vuoden 2012 puitteiden soveltamisalaan kuuluvia toimenpiteitä koskevista kolmansien osapuolten kanteluista, erityisesti oikeudenkäynneistä kansallisissa tuomioistuimissa. Vastatkaa mahdollisimman tarkasti ja ilmoittakaa se ala, jota saamanne kantelut koskevat, kantelujen sisältö ja viranomaistenne mahdolliset jatkotoimet tai tuomioistuinmenettelyn todennäköinen tulos.</w:t>
      </w:r>
    </w:p>
    <w:tbl>
      <w:tblPr>
        <w:tblStyle w:val="TableGrid"/>
        <w:tblW w:w="0" w:type="auto"/>
        <w:tblLook w:val="04A0" w:firstRow="1" w:lastRow="0" w:firstColumn="1" w:lastColumn="0" w:noHBand="0" w:noVBand="1"/>
      </w:tblPr>
      <w:tblGrid>
        <w:gridCol w:w="9288"/>
      </w:tblGrid>
      <w:tr w:rsidR="00A105BE" w:rsidTr="00A105BE">
        <w:tc>
          <w:tcPr>
            <w:tcW w:w="9288" w:type="dxa"/>
          </w:tcPr>
          <w:p w:rsidR="00A105BE" w:rsidRDefault="00A105BE" w:rsidP="00AE245E">
            <w:pPr>
              <w:jc w:val="both"/>
              <w:rPr>
                <w:rFonts w:ascii="Times New Roman" w:hAnsi="Times New Roman"/>
                <w:sz w:val="24"/>
              </w:rPr>
            </w:pPr>
          </w:p>
        </w:tc>
      </w:tr>
    </w:tbl>
    <w:p w:rsidR="00A105BE" w:rsidRPr="00AE245E" w:rsidRDefault="00A105BE" w:rsidP="00AE245E">
      <w:pPr>
        <w:jc w:val="both"/>
        <w:rPr>
          <w:rFonts w:ascii="Times New Roman" w:hAnsi="Times New Roman"/>
          <w:sz w:val="24"/>
        </w:rPr>
      </w:pPr>
    </w:p>
    <w:p w:rsidR="00AE245E" w:rsidRPr="00E73997" w:rsidRDefault="00AE245E" w:rsidP="00AE245E">
      <w:pPr>
        <w:spacing w:after="0" w:line="240" w:lineRule="auto"/>
        <w:jc w:val="both"/>
        <w:rPr>
          <w:rFonts w:ascii="Times New Roman" w:eastAsia="Times New Roman" w:hAnsi="Times New Roman"/>
          <w:b/>
          <w:sz w:val="24"/>
          <w:szCs w:val="20"/>
        </w:rPr>
      </w:pPr>
    </w:p>
    <w:p w:rsidR="00E73997" w:rsidRPr="00E73997" w:rsidRDefault="006B09A1"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Muut kysymykset</w:t>
      </w:r>
    </w:p>
    <w:p w:rsidR="00F378AD" w:rsidRPr="0099514A" w:rsidRDefault="00F378AD" w:rsidP="00E73997">
      <w:pPr>
        <w:spacing w:after="0" w:line="240" w:lineRule="auto"/>
        <w:ind w:left="360"/>
        <w:rPr>
          <w:rFonts w:ascii="Times New Roman" w:eastAsia="Times New Roman" w:hAnsi="Times New Roman"/>
          <w:b/>
          <w:smallCaps/>
          <w:sz w:val="28"/>
          <w:szCs w:val="20"/>
        </w:rPr>
      </w:pPr>
    </w:p>
    <w:p w:rsidR="00F378AD" w:rsidRPr="0099514A" w:rsidRDefault="00873C01" w:rsidP="0099514A">
      <w:pPr>
        <w:numPr>
          <w:ilvl w:val="0"/>
          <w:numId w:val="7"/>
        </w:numPr>
        <w:jc w:val="both"/>
        <w:rPr>
          <w:rFonts w:ascii="Times New Roman" w:hAnsi="Times New Roman"/>
          <w:sz w:val="24"/>
        </w:rPr>
      </w:pPr>
      <w:r>
        <w:rPr>
          <w:rFonts w:ascii="Times New Roman" w:hAnsi="Times New Roman"/>
          <w:sz w:val="24"/>
        </w:rPr>
        <w:t>Pyydämme ilmoittamaan, onko viranomaisillanne ollut vaikeuksia vuoden 2012 päätöksen soveltamisessa. Pyydämme erityisesti kiinnittämään huomiota seuraaviin asioihin:</w:t>
      </w:r>
    </w:p>
    <w:p w:rsidR="00A105BE"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päätöksen 4 artiklan mukaisen toimeksiannon laatiminen</w:t>
      </w:r>
    </w:p>
    <w:p w:rsidR="00A105BE"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korvauksen määrän määrittäminen pä</w:t>
      </w:r>
      <w:r w:rsidR="00785C47">
        <w:rPr>
          <w:rFonts w:ascii="Times New Roman" w:hAnsi="Times New Roman"/>
          <w:sz w:val="24"/>
        </w:rPr>
        <w:t>ätöksen 5 artiklan mukaisesti</w:t>
      </w:r>
    </w:p>
    <w:p w:rsidR="00A105BE"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kohtuullisen voiton määrän määrittäminen päätöksen 5</w:t>
      </w:r>
      <w:r w:rsidR="00785C47">
        <w:rPr>
          <w:rFonts w:ascii="Times New Roman" w:hAnsi="Times New Roman"/>
          <w:sz w:val="24"/>
        </w:rPr>
        <w:t> artiklan 5–8 kohdan mukaisesti</w:t>
      </w:r>
    </w:p>
    <w:p w:rsidR="00873C01"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liiallisia korvauksia koskevat säännölliset tarkastukset päätöksen 6 artiklan mukaisesti.</w:t>
      </w:r>
    </w:p>
    <w:p w:rsidR="00214CF6" w:rsidRDefault="00214CF6" w:rsidP="0099514A">
      <w:pPr>
        <w:ind w:left="360"/>
        <w:jc w:val="both"/>
        <w:rPr>
          <w:rFonts w:ascii="Times New Roman" w:hAnsi="Times New Roman"/>
          <w:sz w:val="24"/>
        </w:rPr>
      </w:pPr>
      <w:r>
        <w:rPr>
          <w:rFonts w:ascii="Times New Roman" w:hAnsi="Times New Roman"/>
          <w:sz w:val="24"/>
        </w:rPr>
        <w:t xml:space="preserve">Vastatkaa mahdollisimman tarkasti, esittäkää asiaan liittyviä esimerkkejä ja ilmoittakaa tarvittaessa ala, joihin tällaisia vaikeuksia (erityisesti) liittyy. </w:t>
      </w:r>
    </w:p>
    <w:tbl>
      <w:tblPr>
        <w:tblStyle w:val="TableGrid"/>
        <w:tblW w:w="0" w:type="auto"/>
        <w:tblInd w:w="360" w:type="dxa"/>
        <w:tblLook w:val="04A0" w:firstRow="1" w:lastRow="0" w:firstColumn="1" w:lastColumn="0" w:noHBand="0" w:noVBand="1"/>
      </w:tblPr>
      <w:tblGrid>
        <w:gridCol w:w="8928"/>
      </w:tblGrid>
      <w:tr w:rsidR="00A105BE" w:rsidTr="00A105BE">
        <w:tc>
          <w:tcPr>
            <w:tcW w:w="9288" w:type="dxa"/>
          </w:tcPr>
          <w:p w:rsidR="00A105BE" w:rsidRDefault="00A105BE" w:rsidP="0099514A">
            <w:pPr>
              <w:jc w:val="both"/>
              <w:rPr>
                <w:rFonts w:ascii="Times New Roman" w:hAnsi="Times New Roman"/>
                <w:sz w:val="24"/>
              </w:rPr>
            </w:pPr>
          </w:p>
        </w:tc>
      </w:tr>
    </w:tbl>
    <w:p w:rsidR="00A105BE" w:rsidRPr="0099514A" w:rsidRDefault="00A105BE" w:rsidP="0099514A">
      <w:pPr>
        <w:ind w:left="360"/>
        <w:jc w:val="both"/>
        <w:rPr>
          <w:rFonts w:ascii="Times New Roman" w:hAnsi="Times New Roman"/>
          <w:sz w:val="24"/>
        </w:rPr>
      </w:pPr>
    </w:p>
    <w:p w:rsidR="00873C01" w:rsidRPr="0099514A" w:rsidRDefault="00873C01" w:rsidP="00873C01">
      <w:pPr>
        <w:numPr>
          <w:ilvl w:val="0"/>
          <w:numId w:val="7"/>
        </w:numPr>
        <w:jc w:val="both"/>
        <w:rPr>
          <w:rFonts w:ascii="Times New Roman" w:hAnsi="Times New Roman"/>
          <w:sz w:val="24"/>
        </w:rPr>
      </w:pPr>
      <w:r>
        <w:rPr>
          <w:rFonts w:ascii="Times New Roman" w:hAnsi="Times New Roman"/>
          <w:sz w:val="24"/>
        </w:rPr>
        <w:t>Pyydämme ilmoittamaan, onko viranomaisillanne ollut vaikeuksia vuoden 2012 puitteiden soveltamisessa. Pyydämme erityisesti kiinnittämään huomiota seuraaviin asioihin:</w:t>
      </w:r>
    </w:p>
    <w:p w:rsidR="00A105BE" w:rsidRPr="00A105BE" w:rsidRDefault="00381F30" w:rsidP="00A105BE">
      <w:pPr>
        <w:pStyle w:val="ListParagraph"/>
        <w:numPr>
          <w:ilvl w:val="0"/>
          <w:numId w:val="10"/>
        </w:numPr>
        <w:jc w:val="both"/>
        <w:rPr>
          <w:rFonts w:ascii="Times New Roman" w:hAnsi="Times New Roman"/>
          <w:sz w:val="24"/>
        </w:rPr>
      </w:pPr>
      <w:r>
        <w:rPr>
          <w:rFonts w:ascii="Times New Roman" w:hAnsi="Times New Roman"/>
          <w:sz w:val="24"/>
        </w:rPr>
        <w:t>julkisen kuulemisen järjestäminen puitteiden 14 kohdan mukaisesti</w:t>
      </w:r>
    </w:p>
    <w:p w:rsidR="00A105BE" w:rsidRPr="00A105BE" w:rsidRDefault="00FE254F" w:rsidP="00A105BE">
      <w:pPr>
        <w:pStyle w:val="ListParagraph"/>
        <w:numPr>
          <w:ilvl w:val="0"/>
          <w:numId w:val="10"/>
        </w:numPr>
        <w:jc w:val="both"/>
        <w:rPr>
          <w:rFonts w:ascii="Times New Roman" w:hAnsi="Times New Roman"/>
          <w:sz w:val="24"/>
        </w:rPr>
      </w:pPr>
      <w:r>
        <w:rPr>
          <w:rFonts w:ascii="Times New Roman" w:hAnsi="Times New Roman"/>
          <w:sz w:val="24"/>
        </w:rPr>
        <w:t>julkisia hankintoja koskevien sääntöjen noudattaminen puitteiden 19 kohdan mukaisesti</w:t>
      </w:r>
    </w:p>
    <w:p w:rsidR="00A105BE" w:rsidRPr="00A105BE" w:rsidRDefault="00AC6987" w:rsidP="00A105BE">
      <w:pPr>
        <w:pStyle w:val="ListParagraph"/>
        <w:numPr>
          <w:ilvl w:val="0"/>
          <w:numId w:val="10"/>
        </w:numPr>
        <w:jc w:val="both"/>
        <w:rPr>
          <w:rFonts w:ascii="Times New Roman" w:hAnsi="Times New Roman"/>
          <w:sz w:val="24"/>
        </w:rPr>
      </w:pPr>
      <w:r>
        <w:rPr>
          <w:rFonts w:ascii="Times New Roman" w:hAnsi="Times New Roman"/>
          <w:sz w:val="24"/>
        </w:rPr>
        <w:t>vältettyjen nettokustannusten määrittäminen puitteiden 25–27 kohdan mukaisesti</w:t>
      </w:r>
    </w:p>
    <w:p w:rsidR="00FE254F" w:rsidRPr="00A105BE" w:rsidRDefault="00FE254F" w:rsidP="00A105BE">
      <w:pPr>
        <w:pStyle w:val="ListParagraph"/>
        <w:numPr>
          <w:ilvl w:val="0"/>
          <w:numId w:val="10"/>
        </w:numPr>
        <w:jc w:val="both"/>
        <w:rPr>
          <w:rFonts w:ascii="Times New Roman" w:hAnsi="Times New Roman"/>
          <w:sz w:val="24"/>
        </w:rPr>
      </w:pPr>
      <w:r>
        <w:rPr>
          <w:rFonts w:ascii="Times New Roman" w:hAnsi="Times New Roman"/>
          <w:sz w:val="24"/>
        </w:rPr>
        <w:t>kohtuullisen voiton määrittäminen puitteiden 33–38 kohdan mukaisesti.</w:t>
      </w:r>
    </w:p>
    <w:p w:rsidR="00381F30" w:rsidRDefault="00214CF6" w:rsidP="0099514A">
      <w:pPr>
        <w:ind w:left="360"/>
        <w:jc w:val="both"/>
        <w:rPr>
          <w:rFonts w:ascii="Times New Roman" w:hAnsi="Times New Roman"/>
          <w:sz w:val="24"/>
        </w:rPr>
      </w:pPr>
      <w:r>
        <w:rPr>
          <w:rFonts w:ascii="Times New Roman" w:hAnsi="Times New Roman"/>
          <w:sz w:val="24"/>
        </w:rPr>
        <w:t>Vastatkaa mahdollisimman tarkasti, esittäkää asiaan liittyviä esimerkkejä ja ilmoittakaa tarvittaessa ala, joihin tällaisia vaikeuksia (erityisesti) liittyy.</w:t>
      </w:r>
    </w:p>
    <w:tbl>
      <w:tblPr>
        <w:tblStyle w:val="TableGrid"/>
        <w:tblW w:w="0" w:type="auto"/>
        <w:tblInd w:w="360" w:type="dxa"/>
        <w:tblLook w:val="04A0" w:firstRow="1" w:lastRow="0" w:firstColumn="1" w:lastColumn="0" w:noHBand="0" w:noVBand="1"/>
      </w:tblPr>
      <w:tblGrid>
        <w:gridCol w:w="8928"/>
      </w:tblGrid>
      <w:tr w:rsidR="00A105BE" w:rsidTr="00A105BE">
        <w:tc>
          <w:tcPr>
            <w:tcW w:w="9288" w:type="dxa"/>
          </w:tcPr>
          <w:p w:rsidR="00A105BE" w:rsidRDefault="00A105BE" w:rsidP="0099514A">
            <w:pPr>
              <w:jc w:val="both"/>
              <w:rPr>
                <w:rFonts w:ascii="Times New Roman" w:hAnsi="Times New Roman"/>
                <w:sz w:val="24"/>
              </w:rPr>
            </w:pPr>
          </w:p>
        </w:tc>
      </w:tr>
    </w:tbl>
    <w:p w:rsidR="00A105BE" w:rsidRPr="0099514A" w:rsidRDefault="00A105BE" w:rsidP="0099514A">
      <w:pPr>
        <w:ind w:left="360"/>
        <w:jc w:val="both"/>
        <w:rPr>
          <w:rFonts w:ascii="Times New Roman" w:hAnsi="Times New Roman"/>
          <w:sz w:val="24"/>
        </w:rPr>
      </w:pPr>
    </w:p>
    <w:p w:rsidR="00873C01" w:rsidRPr="0099514A" w:rsidRDefault="008666B4" w:rsidP="0099514A">
      <w:pPr>
        <w:numPr>
          <w:ilvl w:val="0"/>
          <w:numId w:val="7"/>
        </w:numPr>
        <w:jc w:val="both"/>
        <w:rPr>
          <w:rFonts w:ascii="Times New Roman" w:hAnsi="Times New Roman"/>
          <w:sz w:val="24"/>
        </w:rPr>
      </w:pPr>
      <w:r>
        <w:rPr>
          <w:rFonts w:ascii="Times New Roman" w:hAnsi="Times New Roman"/>
          <w:sz w:val="24"/>
        </w:rPr>
        <w:t>Voitte esittää vapaasti seuraavassa muita päätöksen ja puitteiden soveltamiseen liittyviä kommentteja sellaisista seikoista, joita ei ole käsitelty edellisissä kysymyksissä.</w:t>
      </w:r>
    </w:p>
    <w:tbl>
      <w:tblPr>
        <w:tblStyle w:val="TableGrid"/>
        <w:tblW w:w="0" w:type="auto"/>
        <w:tblLook w:val="04A0" w:firstRow="1" w:lastRow="0" w:firstColumn="1" w:lastColumn="0" w:noHBand="0" w:noVBand="1"/>
      </w:tblPr>
      <w:tblGrid>
        <w:gridCol w:w="9288"/>
      </w:tblGrid>
      <w:tr w:rsidR="00A105BE" w:rsidTr="00A105BE">
        <w:tc>
          <w:tcPr>
            <w:tcW w:w="9288" w:type="dxa"/>
          </w:tcPr>
          <w:p w:rsidR="00A105BE" w:rsidRDefault="00A105BE"/>
        </w:tc>
      </w:tr>
    </w:tbl>
    <w:p w:rsidR="00B804DF" w:rsidRDefault="00B804DF"/>
    <w:p w:rsidR="00D1475D" w:rsidRDefault="00D1475D"/>
    <w:p w:rsidR="00D1475D" w:rsidRDefault="00D1475D" w:rsidP="00D1475D">
      <w:pPr>
        <w:jc w:val="center"/>
      </w:pPr>
      <w:r>
        <w:t>_____________________</w:t>
      </w:r>
    </w:p>
    <w:sectPr w:rsidR="00D1475D" w:rsidSect="006954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B8" w:rsidRDefault="009178B8" w:rsidP="00E73997">
      <w:pPr>
        <w:spacing w:after="0" w:line="240" w:lineRule="auto"/>
      </w:pPr>
      <w:r>
        <w:separator/>
      </w:r>
    </w:p>
  </w:endnote>
  <w:endnote w:type="continuationSeparator" w:id="0">
    <w:p w:rsidR="009178B8" w:rsidRDefault="009178B8" w:rsidP="00E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5C" w:rsidRDefault="007B595C" w:rsidP="0099514A">
    <w:pPr>
      <w:pStyle w:val="Footer"/>
      <w:jc w:val="right"/>
    </w:pPr>
    <w:r>
      <w:fldChar w:fldCharType="begin"/>
    </w:r>
    <w:r>
      <w:instrText xml:space="preserve"> PAGE   \* MERGEFORMAT </w:instrText>
    </w:r>
    <w:r>
      <w:fldChar w:fldCharType="separate"/>
    </w:r>
    <w:r w:rsidR="006954E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C7" w:rsidRDefault="00DE54C7" w:rsidP="00DE54C7">
    <w:pPr>
      <w:pStyle w:val="Footer"/>
      <w:rPr>
        <w:rFonts w:ascii="Times New Roman" w:hAnsi="Times New Roman"/>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B8" w:rsidRDefault="009178B8" w:rsidP="00E73997">
      <w:pPr>
        <w:spacing w:after="0" w:line="240" w:lineRule="auto"/>
      </w:pPr>
      <w:r>
        <w:separator/>
      </w:r>
    </w:p>
  </w:footnote>
  <w:footnote w:type="continuationSeparator" w:id="0">
    <w:p w:rsidR="009178B8" w:rsidRDefault="009178B8" w:rsidP="00E73997">
      <w:pPr>
        <w:spacing w:after="0" w:line="240" w:lineRule="auto"/>
      </w:pPr>
      <w:r>
        <w:continuationSeparator/>
      </w:r>
    </w:p>
  </w:footnote>
  <w:footnote w:id="1">
    <w:p w:rsidR="00E73997" w:rsidRPr="0099514A" w:rsidRDefault="00E73997" w:rsidP="0099514A">
      <w:pPr>
        <w:spacing w:after="0"/>
        <w:jc w:val="both"/>
        <w:rPr>
          <w:rFonts w:ascii="Times New Roman" w:hAnsi="Times New Roman"/>
          <w:sz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 xml:space="preserve">Jos jäsenvaltiossanne on tietyllä alalla vain pieni määrä yksittäisiä yleisiin taloudellisiin tarkoituksiin liittyviä palveluja, pyydämme esittämään yksityiskohtaisen kuvauksen kyseisistä palveluista. </w:t>
      </w:r>
      <w:r>
        <w:rPr>
          <w:rFonts w:ascii="Times New Roman" w:hAnsi="Times New Roman"/>
          <w:b/>
          <w:sz w:val="20"/>
        </w:rPr>
        <w:t>Jos jäsenvaltiossanne on tietyllä alalla suuri määrä toimeksiannettuja palveluja (esimerkiksi sen vuoksi, että toimivalta on alue- tai paikallisviranomaisilla), olisi kohtuutonta vaatia kuvailemaan toimeksiannot yksityiskohtaisesti.</w:t>
      </w:r>
      <w:r>
        <w:rPr>
          <w:rFonts w:ascii="Times New Roman" w:hAnsi="Times New Roman"/>
          <w:sz w:val="20"/>
        </w:rPr>
        <w:t xml:space="preserve"> Sen sijaan on tärkeää esittää selkeä ja tiivis yleiskuvaus siitä, kuinka ala on organisoitu ja mitä yhteisiä piirteitä yksittäisillä toimeksiannoilla on.</w:t>
      </w:r>
    </w:p>
  </w:footnote>
  <w:footnote w:id="2">
    <w:p w:rsidR="00041849" w:rsidRPr="00762E99" w:rsidRDefault="00041849" w:rsidP="0099514A">
      <w:pPr>
        <w:pStyle w:val="FootnoteText"/>
        <w:spacing w:after="0"/>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Kuten vuoden 2012 päätöksen 9 artiklan b alakohdassa säädetään.</w:t>
      </w:r>
    </w:p>
  </w:footnote>
  <w:footnote w:id="3">
    <w:p w:rsidR="00041849" w:rsidRPr="00041849" w:rsidRDefault="00041849" w:rsidP="0099514A">
      <w:pPr>
        <w:pStyle w:val="FootnoteText"/>
        <w:spacing w:after="0"/>
        <w:jc w:val="both"/>
      </w:pPr>
      <w:r>
        <w:rPr>
          <w:rStyle w:val="FootnoteReference"/>
        </w:rPr>
        <w:footnoteRef/>
      </w:r>
      <w:r>
        <w:t xml:space="preserve"> </w:t>
      </w:r>
      <w:r>
        <w:rPr>
          <w:rFonts w:ascii="Times New Roman" w:hAnsi="Times New Roman"/>
          <w:szCs w:val="22"/>
        </w:rPr>
        <w:t>Jos tuen määrää ei voida jakaa keskus-, alue- ja paikallisviranomaisten kesken, olisi ilmoitettava ainoastaan myönnetyn tuen kokonaismäärä kaikkien viranomaisten osalta.</w:t>
      </w:r>
    </w:p>
  </w:footnote>
  <w:footnote w:id="4">
    <w:p w:rsidR="00041849" w:rsidRPr="00041849" w:rsidRDefault="00041849" w:rsidP="0099514A">
      <w:pPr>
        <w:pStyle w:val="FootnoteText"/>
        <w:spacing w:after="0"/>
      </w:pPr>
      <w:r>
        <w:rPr>
          <w:rStyle w:val="FootnoteReference"/>
        </w:rPr>
        <w:footnoteRef/>
      </w:r>
      <w:r>
        <w:t xml:space="preserve"> </w:t>
      </w:r>
      <w:r>
        <w:rPr>
          <w:rFonts w:ascii="Times New Roman" w:hAnsi="Times New Roman"/>
          <w:szCs w:val="22"/>
        </w:rPr>
        <w:t xml:space="preserve">Ks. alaviite </w:t>
      </w:r>
      <w:r>
        <w:rPr>
          <w:rFonts w:ascii="Times New Roman" w:hAnsi="Times New Roman"/>
          <w:szCs w:val="22"/>
        </w:rPr>
        <w:fldChar w:fldCharType="begin"/>
      </w:r>
      <w:r>
        <w:rPr>
          <w:rFonts w:ascii="Times New Roman" w:hAnsi="Times New Roman"/>
          <w:szCs w:val="22"/>
        </w:rPr>
        <w:instrText xml:space="preserve"> NOTEREF _Ref443469630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7</w:t>
      </w:r>
      <w:r>
        <w:rPr>
          <w:rFonts w:ascii="Times New Roman" w:hAnsi="Times New Roman"/>
          <w:szCs w:val="22"/>
        </w:rPr>
        <w:fldChar w:fldCharType="end"/>
      </w:r>
      <w:r>
        <w:rPr>
          <w:rFonts w:ascii="Times New Roman" w:hAnsi="Times New Roman"/>
          <w:szCs w:val="22"/>
        </w:rPr>
        <w:t>.</w:t>
      </w:r>
    </w:p>
  </w:footnote>
  <w:footnote w:id="5">
    <w:p w:rsidR="00041849" w:rsidRPr="00041849" w:rsidRDefault="00041849" w:rsidP="0099514A">
      <w:pPr>
        <w:pStyle w:val="FootnoteText"/>
        <w:spacing w:after="0"/>
      </w:pPr>
      <w:r>
        <w:rPr>
          <w:rStyle w:val="FootnoteReference"/>
        </w:rPr>
        <w:footnoteRef/>
      </w:r>
      <w:r>
        <w:t xml:space="preserve"> </w:t>
      </w:r>
      <w:r>
        <w:rPr>
          <w:rFonts w:ascii="Times New Roman" w:hAnsi="Times New Roman"/>
          <w:szCs w:val="22"/>
        </w:rPr>
        <w:t xml:space="preserve">Ks. alaviite </w:t>
      </w:r>
      <w:r>
        <w:rPr>
          <w:rFonts w:ascii="Times New Roman" w:hAnsi="Times New Roman"/>
          <w:szCs w:val="22"/>
        </w:rPr>
        <w:fldChar w:fldCharType="begin"/>
      </w:r>
      <w:r>
        <w:rPr>
          <w:rFonts w:ascii="Times New Roman" w:hAnsi="Times New Roman"/>
          <w:szCs w:val="22"/>
        </w:rPr>
        <w:instrText xml:space="preserve"> NOTEREF _Ref443469630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7</w:t>
      </w:r>
      <w:r>
        <w:rPr>
          <w:rFonts w:ascii="Times New Roman" w:hAnsi="Times New Roman"/>
          <w:szCs w:val="22"/>
        </w:rPr>
        <w:fldChar w:fldCharType="end"/>
      </w:r>
      <w:r>
        <w:rPr>
          <w:rFonts w:ascii="Times New Roman" w:hAnsi="Times New Roman"/>
          <w:szCs w:val="22"/>
        </w:rPr>
        <w:t>.</w:t>
      </w:r>
    </w:p>
  </w:footnote>
  <w:footnote w:id="6">
    <w:p w:rsidR="002E7839" w:rsidRPr="00D00D6A" w:rsidRDefault="002E7839" w:rsidP="0099514A">
      <w:pPr>
        <w:pStyle w:val="FootnoteText"/>
        <w:spacing w:after="0"/>
        <w:jc w:val="both"/>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 xml:space="preserve"> Komissio ottaa mielellään vastaan tietoja vuoden 2012 päätöksen nojalla myönnetystä tuesta, esimerkiksi tuensaajien määrä aloittain, keskimääräinen tukimäärä, määrät tukivälineittäin, yritysten koko jne. Jos tällaisia muita määrällisiä tietoja ei ole helposti saatavilla jäsenvaltiossanne, ne voidaan luonnollisesti esittää aggregoituina ja/tai arvioina. Ilmoittakaa tässä tapauksessa, että on käytetty arvioita, ja kuinka tiedot on aggregoitu.</w:t>
      </w:r>
    </w:p>
  </w:footnote>
  <w:footnote w:id="7">
    <w:p w:rsidR="007B595C" w:rsidRPr="0099514A" w:rsidRDefault="007B595C" w:rsidP="007B595C">
      <w:pPr>
        <w:jc w:val="both"/>
        <w:rPr>
          <w:rFonts w:ascii="Times New Roman" w:hAnsi="Times New Roman"/>
          <w:sz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Jos jäsenvaltiossanne on tietyllä alalla vain pieni määrä yksittäisiä yleisiin taloudellisiin tarkoituksiin liittyviä palveluja, pyydämme esittämään yksityiskohtaisen kuvauksen kyseisistä palveluista. Jos jäsenvaltiossanne on tietyllä alalla suuri määrä toimeksiannettuja palveluja (esimerkiksi sen vuoksi, että toimivalta on alue- tai paikallisviranomaisilla), olisi kohtuutonta vaatia kuvailemaan toimeksiannot yksityiskohtaisesti.</w:t>
      </w:r>
      <w:r>
        <w:rPr>
          <w:sz w:val="20"/>
        </w:rPr>
        <w:t xml:space="preserve"> </w:t>
      </w:r>
      <w:r>
        <w:rPr>
          <w:rFonts w:ascii="Times New Roman" w:hAnsi="Times New Roman"/>
          <w:sz w:val="20"/>
        </w:rPr>
        <w:t>Sen sijaan on tärkeää esittää selkeä ja tiivis yleiskuvaus siitä, kuinka ala on organisoitu ja mitä yhteisiä piirteitä yksittäisillä toimeksiannoilla on.</w:t>
      </w:r>
      <w:r>
        <w:rPr>
          <w:rFonts w:ascii="Times New Roman" w:hAnsi="Times New Roman"/>
          <w:sz w:val="20"/>
          <w:szCs w:val="20"/>
        </w:rPr>
        <w:t xml:space="preserve"> </w:t>
      </w:r>
      <w:r>
        <w:rPr>
          <w:rFonts w:ascii="Times New Roman" w:hAnsi="Times New Roman"/>
          <w:sz w:val="20"/>
        </w:rPr>
        <w:t>Koska yleisiin taloudellisiin tarkoituksiin liittyviä palveluja koskevien puitteiden soveltamisalaan kuuluvien tapausten lukumäärä tulee olemaan pieni, komissio odottaa yksityiskohtaista kuvausta kustakin konkreettisesta toimenpiteestä.</w:t>
      </w:r>
    </w:p>
  </w:footnote>
  <w:footnote w:id="8">
    <w:p w:rsidR="00AE245E" w:rsidRPr="00762E99" w:rsidRDefault="00AE245E" w:rsidP="00AE245E">
      <w:pPr>
        <w:pStyle w:val="FootnoteText"/>
        <w:spacing w:after="0"/>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 xml:space="preserve"> Vuoden 2012 puitteiden 62 kohdan b alakohdan mukaan</w:t>
      </w:r>
      <w:r>
        <w:t>.</w:t>
      </w:r>
    </w:p>
  </w:footnote>
  <w:footnote w:id="9">
    <w:p w:rsidR="00AE245E" w:rsidRPr="00041849" w:rsidRDefault="00AE245E" w:rsidP="00AE245E">
      <w:pPr>
        <w:pStyle w:val="FootnoteText"/>
        <w:spacing w:after="0"/>
        <w:jc w:val="both"/>
      </w:pPr>
      <w:r>
        <w:rPr>
          <w:rStyle w:val="FootnoteReference"/>
        </w:rPr>
        <w:footnoteRef/>
      </w:r>
      <w:r>
        <w:t xml:space="preserve"> </w:t>
      </w:r>
      <w:r>
        <w:rPr>
          <w:rFonts w:ascii="Times New Roman" w:hAnsi="Times New Roman"/>
          <w:szCs w:val="22"/>
        </w:rPr>
        <w:t>Jos tuen määrää ei voida jakaa keskus-, alue- ja paikallisviranomaisten kesken, olisi ilmoitettava ainoastaan myönnetyn tuen kokonaismäärä kaikkien viranomaisten osalta.</w:t>
      </w:r>
    </w:p>
  </w:footnote>
  <w:footnote w:id="10">
    <w:p w:rsidR="00AE245E" w:rsidRPr="00041849" w:rsidRDefault="00AE245E" w:rsidP="00AE245E">
      <w:pPr>
        <w:pStyle w:val="FootnoteText"/>
        <w:spacing w:after="0"/>
      </w:pPr>
      <w:r>
        <w:rPr>
          <w:rStyle w:val="FootnoteReference"/>
        </w:rPr>
        <w:footnoteRef/>
      </w:r>
      <w:r>
        <w:t xml:space="preserve"> </w:t>
      </w:r>
      <w:r>
        <w:rPr>
          <w:rFonts w:ascii="Times New Roman" w:hAnsi="Times New Roman"/>
          <w:szCs w:val="22"/>
        </w:rPr>
        <w:t xml:space="preserve">Ks. alaviite </w:t>
      </w:r>
      <w:r>
        <w:rPr>
          <w:rFonts w:ascii="Times New Roman" w:hAnsi="Times New Roman"/>
          <w:szCs w:val="22"/>
        </w:rPr>
        <w:fldChar w:fldCharType="begin"/>
      </w:r>
      <w:r>
        <w:rPr>
          <w:rFonts w:ascii="Times New Roman" w:hAnsi="Times New Roman"/>
          <w:szCs w:val="22"/>
        </w:rPr>
        <w:instrText xml:space="preserve"> NOTEREF _Ref443469914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13</w:t>
      </w:r>
      <w:r>
        <w:rPr>
          <w:rFonts w:ascii="Times New Roman" w:hAnsi="Times New Roman"/>
          <w:szCs w:val="22"/>
        </w:rPr>
        <w:fldChar w:fldCharType="end"/>
      </w:r>
      <w:r>
        <w:rPr>
          <w:rFonts w:ascii="Times New Roman" w:hAnsi="Times New Roman"/>
          <w:szCs w:val="22"/>
        </w:rPr>
        <w:t>.</w:t>
      </w:r>
    </w:p>
  </w:footnote>
  <w:footnote w:id="11">
    <w:p w:rsidR="00AE245E" w:rsidRPr="00041849" w:rsidRDefault="00AE245E" w:rsidP="00AE245E">
      <w:pPr>
        <w:pStyle w:val="FootnoteText"/>
        <w:spacing w:after="0"/>
      </w:pPr>
      <w:r>
        <w:rPr>
          <w:rStyle w:val="FootnoteReference"/>
        </w:rPr>
        <w:footnoteRef/>
      </w:r>
      <w:r>
        <w:t xml:space="preserve"> </w:t>
      </w:r>
      <w:r>
        <w:rPr>
          <w:rFonts w:ascii="Times New Roman" w:hAnsi="Times New Roman"/>
          <w:szCs w:val="22"/>
        </w:rPr>
        <w:t xml:space="preserve">Ks. alaviite </w:t>
      </w:r>
      <w:r>
        <w:rPr>
          <w:rFonts w:ascii="Times New Roman" w:hAnsi="Times New Roman"/>
          <w:szCs w:val="22"/>
        </w:rPr>
        <w:fldChar w:fldCharType="begin"/>
      </w:r>
      <w:r>
        <w:rPr>
          <w:rFonts w:ascii="Times New Roman" w:hAnsi="Times New Roman"/>
          <w:szCs w:val="22"/>
        </w:rPr>
        <w:instrText xml:space="preserve"> NOTEREF _Ref443469914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13</w:t>
      </w:r>
      <w:r>
        <w:rPr>
          <w:rFonts w:ascii="Times New Roman" w:hAnsi="Times New Roman"/>
          <w:szCs w:val="22"/>
        </w:rPr>
        <w:fldChar w:fldCharType="end"/>
      </w:r>
      <w:r>
        <w:rPr>
          <w:rFonts w:ascii="Times New Roman" w:hAnsi="Times New Roman"/>
          <w:szCs w:val="22"/>
        </w:rPr>
        <w:t>.</w:t>
      </w:r>
    </w:p>
  </w:footnote>
  <w:footnote w:id="12">
    <w:p w:rsidR="00AE245E" w:rsidRPr="00D00D6A" w:rsidRDefault="00AE245E" w:rsidP="00AE245E">
      <w:pPr>
        <w:pStyle w:val="FootnoteText"/>
        <w:spacing w:after="0"/>
        <w:jc w:val="both"/>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 xml:space="preserve"> Komissio ottaa mielellään vastaan tietoja vuoden 2012 puitteiden nojalla myönnetystä tuesta, esimerkiksi tuensaajien määrä aloittain, keskimääräinen tukimäärä, määrät tukivälineittäin, yritysten koko jne. Jos tällaisia muita määrällisiä tietoja ei ole helposti saatavilla jäsenvaltiossanne, ne voidaan luonnollisesti esittää aggregoituina ja/tai arvioina. Ilmoittakaa tässä tapauksessa, että on käytetty arvioita, ja kuinka tiedot on aggregoitu.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570B5"/>
    <w:multiLevelType w:val="multilevel"/>
    <w:tmpl w:val="3072F1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FB4C99"/>
    <w:multiLevelType w:val="hybridMultilevel"/>
    <w:tmpl w:val="CD96A7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109C1"/>
    <w:multiLevelType w:val="multilevel"/>
    <w:tmpl w:val="AB1E4D70"/>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C631BA"/>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DC0B66"/>
    <w:multiLevelType w:val="hybridMultilevel"/>
    <w:tmpl w:val="E960CC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73D90"/>
    <w:multiLevelType w:val="hybridMultilevel"/>
    <w:tmpl w:val="169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96FD3"/>
    <w:multiLevelType w:val="hybridMultilevel"/>
    <w:tmpl w:val="933CC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61972415"/>
    <w:multiLevelType w:val="hybridMultilevel"/>
    <w:tmpl w:val="ED7669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FE32E62"/>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CB73A2"/>
    <w:multiLevelType w:val="hybridMultilevel"/>
    <w:tmpl w:val="E19C9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8"/>
  </w:num>
  <w:num w:numId="8">
    <w:abstractNumId w:val="7"/>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73997"/>
    <w:rsid w:val="0000152F"/>
    <w:rsid w:val="0000502A"/>
    <w:rsid w:val="00034502"/>
    <w:rsid w:val="00037F96"/>
    <w:rsid w:val="00041849"/>
    <w:rsid w:val="0005745D"/>
    <w:rsid w:val="0009101F"/>
    <w:rsid w:val="000F7391"/>
    <w:rsid w:val="00101854"/>
    <w:rsid w:val="001451F9"/>
    <w:rsid w:val="00146224"/>
    <w:rsid w:val="00146A28"/>
    <w:rsid w:val="001C3CBF"/>
    <w:rsid w:val="001E53C2"/>
    <w:rsid w:val="001F14E5"/>
    <w:rsid w:val="001F16FB"/>
    <w:rsid w:val="0021276A"/>
    <w:rsid w:val="00214CF6"/>
    <w:rsid w:val="00230487"/>
    <w:rsid w:val="0023393C"/>
    <w:rsid w:val="002439CC"/>
    <w:rsid w:val="0028684D"/>
    <w:rsid w:val="002B0456"/>
    <w:rsid w:val="002E7839"/>
    <w:rsid w:val="00310C86"/>
    <w:rsid w:val="00355406"/>
    <w:rsid w:val="0036778A"/>
    <w:rsid w:val="003677DD"/>
    <w:rsid w:val="00381F30"/>
    <w:rsid w:val="003D5FEE"/>
    <w:rsid w:val="00440DB7"/>
    <w:rsid w:val="00473CC2"/>
    <w:rsid w:val="00495F39"/>
    <w:rsid w:val="004B0AB5"/>
    <w:rsid w:val="004B48A4"/>
    <w:rsid w:val="004D0295"/>
    <w:rsid w:val="004D2E20"/>
    <w:rsid w:val="004D700A"/>
    <w:rsid w:val="004F02C6"/>
    <w:rsid w:val="005135C9"/>
    <w:rsid w:val="00582A39"/>
    <w:rsid w:val="005845B6"/>
    <w:rsid w:val="00584F75"/>
    <w:rsid w:val="00597822"/>
    <w:rsid w:val="005C0B70"/>
    <w:rsid w:val="005C3285"/>
    <w:rsid w:val="005E7FA5"/>
    <w:rsid w:val="005F61A4"/>
    <w:rsid w:val="00633490"/>
    <w:rsid w:val="00633CA5"/>
    <w:rsid w:val="0063774B"/>
    <w:rsid w:val="00676B62"/>
    <w:rsid w:val="006954EC"/>
    <w:rsid w:val="006B09A1"/>
    <w:rsid w:val="006C5F06"/>
    <w:rsid w:val="006D5AC9"/>
    <w:rsid w:val="006D5E2F"/>
    <w:rsid w:val="007209E8"/>
    <w:rsid w:val="007616EE"/>
    <w:rsid w:val="00765398"/>
    <w:rsid w:val="00785C47"/>
    <w:rsid w:val="007A673A"/>
    <w:rsid w:val="007B595C"/>
    <w:rsid w:val="007C2D57"/>
    <w:rsid w:val="007C3531"/>
    <w:rsid w:val="007C74A5"/>
    <w:rsid w:val="007F7564"/>
    <w:rsid w:val="00811C30"/>
    <w:rsid w:val="00840361"/>
    <w:rsid w:val="008666B4"/>
    <w:rsid w:val="00873C01"/>
    <w:rsid w:val="00886A9D"/>
    <w:rsid w:val="00891D2D"/>
    <w:rsid w:val="008A31D0"/>
    <w:rsid w:val="008B0473"/>
    <w:rsid w:val="008C33F4"/>
    <w:rsid w:val="008D0B47"/>
    <w:rsid w:val="008D1AC7"/>
    <w:rsid w:val="008D4622"/>
    <w:rsid w:val="008F7948"/>
    <w:rsid w:val="009178B8"/>
    <w:rsid w:val="0092449B"/>
    <w:rsid w:val="009428CD"/>
    <w:rsid w:val="0099514A"/>
    <w:rsid w:val="009B6258"/>
    <w:rsid w:val="00A100A2"/>
    <w:rsid w:val="00A105BE"/>
    <w:rsid w:val="00A447CD"/>
    <w:rsid w:val="00A64C24"/>
    <w:rsid w:val="00A817BA"/>
    <w:rsid w:val="00A85DF0"/>
    <w:rsid w:val="00A86840"/>
    <w:rsid w:val="00AC6987"/>
    <w:rsid w:val="00AE0275"/>
    <w:rsid w:val="00AE245E"/>
    <w:rsid w:val="00AF050E"/>
    <w:rsid w:val="00B120CF"/>
    <w:rsid w:val="00B5261D"/>
    <w:rsid w:val="00B603E2"/>
    <w:rsid w:val="00B7168C"/>
    <w:rsid w:val="00B76EA8"/>
    <w:rsid w:val="00B804DF"/>
    <w:rsid w:val="00BB301B"/>
    <w:rsid w:val="00BD45EF"/>
    <w:rsid w:val="00C32A1F"/>
    <w:rsid w:val="00CE1BF6"/>
    <w:rsid w:val="00D075B8"/>
    <w:rsid w:val="00D1475D"/>
    <w:rsid w:val="00D262DF"/>
    <w:rsid w:val="00D459EF"/>
    <w:rsid w:val="00D63F83"/>
    <w:rsid w:val="00D908EA"/>
    <w:rsid w:val="00DE54C7"/>
    <w:rsid w:val="00DF7170"/>
    <w:rsid w:val="00E02669"/>
    <w:rsid w:val="00E171A3"/>
    <w:rsid w:val="00E308F4"/>
    <w:rsid w:val="00E65722"/>
    <w:rsid w:val="00E73997"/>
    <w:rsid w:val="00E8111F"/>
    <w:rsid w:val="00EA4EB6"/>
    <w:rsid w:val="00EC1D75"/>
    <w:rsid w:val="00EC5375"/>
    <w:rsid w:val="00F05DC0"/>
    <w:rsid w:val="00F154FD"/>
    <w:rsid w:val="00F378AD"/>
    <w:rsid w:val="00F41456"/>
    <w:rsid w:val="00F57820"/>
    <w:rsid w:val="00FA4AF9"/>
    <w:rsid w:val="00FB0588"/>
    <w:rsid w:val="00FE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0AE17B"/>
  <w15:docId w15:val="{0DA65ACD-A0E2-4043-9454-DC69C87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w:basedOn w:val="Normal"/>
    <w:link w:val="FootnoteTextChar"/>
    <w:semiHidden/>
    <w:unhideWhenUsed/>
    <w:rsid w:val="00E73997"/>
    <w:rPr>
      <w:sz w:val="20"/>
      <w:szCs w:val="20"/>
    </w:rPr>
  </w:style>
  <w:style w:type="character" w:customStyle="1" w:styleId="FootnoteTextChar">
    <w:name w:val="Footnote Text Char"/>
    <w:aliases w:val="Footnote text Char"/>
    <w:link w:val="FootnoteText"/>
    <w:rsid w:val="00E73997"/>
    <w:rPr>
      <w:lang w:eastAsia="en-US"/>
    </w:rPr>
  </w:style>
  <w:style w:type="paragraph" w:styleId="ListParagraph">
    <w:name w:val="List Paragraph"/>
    <w:basedOn w:val="Normal"/>
    <w:uiPriority w:val="34"/>
    <w:qFormat/>
    <w:rsid w:val="00E73997"/>
    <w:pPr>
      <w:ind w:left="720"/>
    </w:pPr>
  </w:style>
  <w:style w:type="paragraph" w:styleId="CommentText">
    <w:name w:val="annotation text"/>
    <w:basedOn w:val="Normal"/>
    <w:link w:val="CommentTextChar"/>
    <w:semiHidden/>
    <w:rsid w:val="00E73997"/>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sid w:val="00E73997"/>
    <w:rPr>
      <w:rFonts w:ascii="Times New Roman" w:eastAsia="Times New Roman" w:hAnsi="Times New Roman"/>
      <w:lang w:eastAsia="en-US"/>
    </w:rPr>
  </w:style>
  <w:style w:type="character" w:styleId="FootnoteReference">
    <w:name w:val="footnote reference"/>
    <w:aliases w:val="Footnote"/>
    <w:semiHidden/>
    <w:rsid w:val="00E73997"/>
    <w:rPr>
      <w:vertAlign w:val="superscript"/>
    </w:rPr>
  </w:style>
  <w:style w:type="character" w:styleId="CommentReference">
    <w:name w:val="annotation reference"/>
    <w:rsid w:val="00E73997"/>
    <w:rPr>
      <w:sz w:val="16"/>
      <w:szCs w:val="16"/>
    </w:rPr>
  </w:style>
  <w:style w:type="paragraph" w:styleId="BalloonText">
    <w:name w:val="Balloon Text"/>
    <w:basedOn w:val="Normal"/>
    <w:link w:val="BalloonTextChar"/>
    <w:uiPriority w:val="99"/>
    <w:semiHidden/>
    <w:unhideWhenUsed/>
    <w:rsid w:val="00E739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3997"/>
    <w:rPr>
      <w:rFonts w:ascii="Tahoma" w:hAnsi="Tahoma" w:cs="Tahoma"/>
      <w:sz w:val="16"/>
      <w:szCs w:val="16"/>
      <w:lang w:eastAsia="en-US"/>
    </w:rPr>
  </w:style>
  <w:style w:type="paragraph" w:styleId="Revision">
    <w:name w:val="Revision"/>
    <w:hidden/>
    <w:uiPriority w:val="99"/>
    <w:semiHidden/>
    <w:rsid w:val="006D5E2F"/>
    <w:rPr>
      <w:sz w:val="22"/>
      <w:szCs w:val="22"/>
      <w:lang w:eastAsia="en-US"/>
    </w:rPr>
  </w:style>
  <w:style w:type="paragraph" w:styleId="CommentSubject">
    <w:name w:val="annotation subject"/>
    <w:basedOn w:val="CommentText"/>
    <w:next w:val="CommentText"/>
    <w:link w:val="CommentSubjectChar"/>
    <w:uiPriority w:val="99"/>
    <w:semiHidden/>
    <w:unhideWhenUsed/>
    <w:rsid w:val="00EA4EB6"/>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sid w:val="00EA4EB6"/>
    <w:rPr>
      <w:rFonts w:ascii="Times New Roman" w:eastAsia="Times New Roman" w:hAnsi="Times New Roman"/>
      <w:b/>
      <w:bCs/>
      <w:lang w:eastAsia="en-US"/>
    </w:rPr>
  </w:style>
  <w:style w:type="paragraph" w:styleId="Header">
    <w:name w:val="header"/>
    <w:basedOn w:val="Normal"/>
    <w:link w:val="HeaderChar"/>
    <w:uiPriority w:val="99"/>
    <w:unhideWhenUsed/>
    <w:rsid w:val="007B595C"/>
    <w:pPr>
      <w:tabs>
        <w:tab w:val="center" w:pos="4536"/>
        <w:tab w:val="right" w:pos="9072"/>
      </w:tabs>
    </w:pPr>
  </w:style>
  <w:style w:type="character" w:customStyle="1" w:styleId="HeaderChar">
    <w:name w:val="Header Char"/>
    <w:link w:val="Header"/>
    <w:uiPriority w:val="99"/>
    <w:rsid w:val="007B595C"/>
    <w:rPr>
      <w:sz w:val="22"/>
      <w:szCs w:val="22"/>
      <w:lang w:eastAsia="en-US"/>
    </w:rPr>
  </w:style>
  <w:style w:type="paragraph" w:styleId="Footer">
    <w:name w:val="footer"/>
    <w:basedOn w:val="Normal"/>
    <w:link w:val="FooterChar"/>
    <w:uiPriority w:val="99"/>
    <w:unhideWhenUsed/>
    <w:rsid w:val="007B595C"/>
    <w:pPr>
      <w:tabs>
        <w:tab w:val="center" w:pos="4536"/>
        <w:tab w:val="right" w:pos="9072"/>
      </w:tabs>
    </w:pPr>
  </w:style>
  <w:style w:type="character" w:customStyle="1" w:styleId="FooterChar">
    <w:name w:val="Footer Char"/>
    <w:link w:val="Footer"/>
    <w:uiPriority w:val="99"/>
    <w:rsid w:val="007B595C"/>
    <w:rPr>
      <w:sz w:val="22"/>
      <w:szCs w:val="22"/>
      <w:lang w:eastAsia="en-US"/>
    </w:rPr>
  </w:style>
  <w:style w:type="paragraph" w:customStyle="1" w:styleId="Text1">
    <w:name w:val="Text 1"/>
    <w:basedOn w:val="Normal"/>
    <w:rsid w:val="00584F75"/>
    <w:pPr>
      <w:spacing w:after="240" w:line="240" w:lineRule="auto"/>
      <w:ind w:left="482"/>
      <w:jc w:val="both"/>
    </w:pPr>
    <w:rPr>
      <w:rFonts w:ascii="Times New Roman" w:eastAsia="Times New Roman" w:hAnsi="Times New Roman"/>
      <w:sz w:val="24"/>
      <w:szCs w:val="20"/>
    </w:rPr>
  </w:style>
  <w:style w:type="paragraph" w:styleId="Date">
    <w:name w:val="Date"/>
    <w:basedOn w:val="Normal"/>
    <w:next w:val="References"/>
    <w:link w:val="DateChar"/>
    <w:rsid w:val="00584F75"/>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sid w:val="00584F75"/>
    <w:rPr>
      <w:rFonts w:ascii="Times New Roman" w:eastAsia="Times New Roman" w:hAnsi="Times New Roman"/>
      <w:sz w:val="24"/>
      <w:lang w:eastAsia="en-US"/>
    </w:rPr>
  </w:style>
  <w:style w:type="paragraph" w:customStyle="1" w:styleId="References">
    <w:name w:val="References"/>
    <w:basedOn w:val="Normal"/>
    <w:next w:val="Normal"/>
    <w:rsid w:val="00584F75"/>
    <w:pPr>
      <w:spacing w:after="240" w:line="240" w:lineRule="auto"/>
      <w:ind w:left="5103"/>
    </w:pPr>
    <w:rPr>
      <w:rFonts w:ascii="Times New Roman" w:eastAsia="Times New Roman" w:hAnsi="Times New Roman"/>
      <w:sz w:val="20"/>
      <w:szCs w:val="20"/>
    </w:rPr>
  </w:style>
  <w:style w:type="paragraph" w:styleId="ListBullet">
    <w:name w:val="List Bullet"/>
    <w:basedOn w:val="Normal"/>
    <w:rsid w:val="00584F75"/>
    <w:pPr>
      <w:numPr>
        <w:numId w:val="8"/>
      </w:numPr>
      <w:spacing w:after="240" w:line="240" w:lineRule="auto"/>
      <w:jc w:val="both"/>
    </w:pPr>
    <w:rPr>
      <w:rFonts w:ascii="Times New Roman" w:eastAsia="Times New Roman" w:hAnsi="Times New Roman"/>
      <w:sz w:val="24"/>
      <w:szCs w:val="20"/>
    </w:rPr>
  </w:style>
  <w:style w:type="paragraph" w:customStyle="1" w:styleId="Subject">
    <w:name w:val="Subject"/>
    <w:basedOn w:val="Normal"/>
    <w:next w:val="Normal"/>
    <w:rsid w:val="00584F75"/>
    <w:pPr>
      <w:spacing w:after="480" w:line="240" w:lineRule="auto"/>
      <w:ind w:left="1531" w:hanging="1531"/>
    </w:pPr>
    <w:rPr>
      <w:rFonts w:ascii="Times New Roman" w:eastAsia="Times New Roman" w:hAnsi="Times New Roman"/>
      <w:b/>
      <w:sz w:val="24"/>
      <w:szCs w:val="20"/>
    </w:rPr>
  </w:style>
  <w:style w:type="paragraph" w:customStyle="1" w:styleId="ZCom">
    <w:name w:val="Z_Com"/>
    <w:basedOn w:val="Normal"/>
    <w:next w:val="ZDGName"/>
    <w:uiPriority w:val="99"/>
    <w:rsid w:val="00584F75"/>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584F75"/>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Hyperlink">
    <w:name w:val="Hyperlink"/>
    <w:rsid w:val="00584F75"/>
    <w:rPr>
      <w:color w:val="0000FF"/>
      <w:u w:val="single"/>
    </w:rPr>
  </w:style>
  <w:style w:type="table" w:styleId="TableGrid">
    <w:name w:val="Table Grid"/>
    <w:basedOn w:val="TableNormal"/>
    <w:uiPriority w:val="59"/>
    <w:rsid w:val="00A1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837">
      <w:bodyDiv w:val="1"/>
      <w:marLeft w:val="0"/>
      <w:marRight w:val="0"/>
      <w:marTop w:val="0"/>
      <w:marBottom w:val="0"/>
      <w:divBdr>
        <w:top w:val="none" w:sz="0" w:space="0" w:color="auto"/>
        <w:left w:val="none" w:sz="0" w:space="0" w:color="auto"/>
        <w:bottom w:val="none" w:sz="0" w:space="0" w:color="auto"/>
        <w:right w:val="none" w:sz="0" w:space="0" w:color="auto"/>
      </w:divBdr>
    </w:div>
    <w:div w:id="1493177517">
      <w:bodyDiv w:val="1"/>
      <w:marLeft w:val="0"/>
      <w:marRight w:val="0"/>
      <w:marTop w:val="0"/>
      <w:marBottom w:val="0"/>
      <w:divBdr>
        <w:top w:val="none" w:sz="0" w:space="0" w:color="auto"/>
        <w:left w:val="none" w:sz="0" w:space="0" w:color="auto"/>
        <w:bottom w:val="none" w:sz="0" w:space="0" w:color="auto"/>
        <w:right w:val="none" w:sz="0" w:space="0" w:color="auto"/>
      </w:divBdr>
      <w:divsChild>
        <w:div w:id="1329409193">
          <w:marLeft w:val="0"/>
          <w:marRight w:val="0"/>
          <w:marTop w:val="0"/>
          <w:marBottom w:val="0"/>
          <w:divBdr>
            <w:top w:val="none" w:sz="0" w:space="0" w:color="auto"/>
            <w:left w:val="none" w:sz="0" w:space="0" w:color="auto"/>
            <w:bottom w:val="none" w:sz="0" w:space="0" w:color="auto"/>
            <w:right w:val="none" w:sz="0" w:space="0" w:color="auto"/>
          </w:divBdr>
          <w:divsChild>
            <w:div w:id="1384325648">
              <w:marLeft w:val="0"/>
              <w:marRight w:val="0"/>
              <w:marTop w:val="0"/>
              <w:marBottom w:val="0"/>
              <w:divBdr>
                <w:top w:val="none" w:sz="0" w:space="0" w:color="auto"/>
                <w:left w:val="none" w:sz="0" w:space="0" w:color="auto"/>
                <w:bottom w:val="none" w:sz="0" w:space="0" w:color="auto"/>
                <w:right w:val="none" w:sz="0" w:space="0" w:color="auto"/>
              </w:divBdr>
              <w:divsChild>
                <w:div w:id="17102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67C6-9F09-4964-AE28-ACD55383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1282</Words>
  <Characters>10637</Characters>
  <Application>Microsoft Office Word</Application>
  <DocSecurity>0</DocSecurity>
  <Lines>287</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11789</CharactersWithSpaces>
  <SharedDoc>false</SharedDoc>
  <HLinks>
    <vt:vector size="18" baseType="variant">
      <vt:variant>
        <vt:i4>6226021</vt:i4>
      </vt:variant>
      <vt:variant>
        <vt:i4>3</vt:i4>
      </vt:variant>
      <vt:variant>
        <vt:i4>0</vt:i4>
      </vt:variant>
      <vt:variant>
        <vt:i4>5</vt:i4>
      </vt:variant>
      <vt:variant>
        <vt:lpwstr>mailto:Tsanko.TSANKOV@ec.europa.eu</vt:lpwstr>
      </vt:variant>
      <vt:variant>
        <vt:lpwstr/>
      </vt:variant>
      <vt:variant>
        <vt:i4>7471193</vt:i4>
      </vt:variant>
      <vt:variant>
        <vt:i4>0</vt:i4>
      </vt:variant>
      <vt:variant>
        <vt:i4>0</vt:i4>
      </vt:variant>
      <vt:variant>
        <vt:i4>5</vt:i4>
      </vt:variant>
      <vt:variant>
        <vt:lpwstr>mailto:Bob.BULTHUIS@ec.europa.eu</vt:lpwstr>
      </vt:variant>
      <vt:variant>
        <vt:lpwstr/>
      </vt:variant>
      <vt:variant>
        <vt:i4>1310758</vt:i4>
      </vt:variant>
      <vt:variant>
        <vt:i4>0</vt:i4>
      </vt:variant>
      <vt:variant>
        <vt:i4>0</vt:i4>
      </vt:variant>
      <vt:variant>
        <vt:i4>5</vt:i4>
      </vt:variant>
      <vt:variant>
        <vt:lpwstr>http://ec.europa.eu/competition/state_aid/overview/public_services_en.html</vt:lpwstr>
      </vt:variant>
      <vt:variant>
        <vt:lpwstr>package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GAUCLERE Manon (COMP)</dc:creator>
  <cp:lastModifiedBy>DENINA Elena (COMP)</cp:lastModifiedBy>
  <cp:revision>3</cp:revision>
  <cp:lastPrinted>2020-01-29T14:09:00Z</cp:lastPrinted>
  <dcterms:created xsi:type="dcterms:W3CDTF">2021-11-11T11:49:00Z</dcterms:created>
  <dcterms:modified xsi:type="dcterms:W3CDTF">2021-11-11T11:50:00Z</dcterms:modified>
</cp:coreProperties>
</file>