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3" w:rsidRDefault="006411F3" w:rsidP="006411F3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val="ru-RU" w:eastAsia="ru-RU"/>
        </w:rPr>
        <w:t>Laki</w:t>
      </w:r>
    </w:p>
    <w:p w:rsidR="008D182A" w:rsidRPr="008D182A" w:rsidRDefault="008D182A" w:rsidP="006411F3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eastAsia="ru-RU"/>
        </w:rPr>
      </w:pPr>
    </w:p>
    <w:p w:rsidR="006411F3" w:rsidRDefault="006411F3" w:rsidP="006411F3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>N:o 583</w:t>
      </w:r>
    </w:p>
    <w:p w:rsidR="008D182A" w:rsidRPr="008D182A" w:rsidRDefault="008D182A" w:rsidP="006411F3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6411F3" w:rsidRDefault="006411F3" w:rsidP="006411F3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>lastensuojelulain muuttamisesta</w:t>
      </w:r>
    </w:p>
    <w:p w:rsidR="006411F3" w:rsidRDefault="006411F3" w:rsidP="006411F3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lang w:eastAsia="ru-RU"/>
        </w:rPr>
      </w:pPr>
    </w:p>
    <w:p w:rsidR="006411F3" w:rsidRDefault="006411F3" w:rsidP="006411F3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lang w:val="ru-RU" w:eastAsia="ru-RU"/>
        </w:rPr>
      </w:pPr>
      <w:r>
        <w:rPr>
          <w:rFonts w:ascii="TimesNewRomanPS" w:hAnsi="TimesNewRomanPS" w:cs="TimesNewRomanPS"/>
          <w:color w:val="292526"/>
          <w:lang w:val="ru-RU" w:eastAsia="ru-RU"/>
        </w:rPr>
        <w:t>Annettu Naantalissa 29 päivänä kesäkuuta 2006</w:t>
      </w:r>
    </w:p>
    <w:p w:rsidR="006411F3" w:rsidRDefault="006411F3" w:rsidP="006411F3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6411F3" w:rsidRPr="008D182A" w:rsidRDefault="006411F3" w:rsidP="008D182A">
      <w:pPr>
        <w:autoSpaceDE w:val="0"/>
        <w:autoSpaceDN w:val="0"/>
        <w:adjustRightInd w:val="0"/>
        <w:jc w:val="both"/>
        <w:rPr>
          <w:rFonts w:ascii="TimesNewRomanPS-Italic" w:hAnsi="TimesNewRomanPS-Italic" w:cs="TimesNewRomanPS-Italic"/>
          <w:i/>
          <w:iCs/>
          <w:noProof/>
          <w:color w:val="292526"/>
          <w:sz w:val="22"/>
          <w:szCs w:val="22"/>
          <w:lang w:eastAsia="ru-RU"/>
        </w:rPr>
      </w:pPr>
      <w:r w:rsidRP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>Eduskunnan päätöksen mukaisesti</w:t>
      </w:r>
    </w:p>
    <w:p w:rsidR="006411F3" w:rsidRDefault="006411F3" w:rsidP="008D182A">
      <w:pPr>
        <w:autoSpaceDE w:val="0"/>
        <w:autoSpaceDN w:val="0"/>
        <w:adjustRightInd w:val="0"/>
        <w:jc w:val="both"/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</w:pPr>
      <w:r w:rsidRPr="008D182A">
        <w:rPr>
          <w:rFonts w:ascii="TimesNewRomanPS-Italic" w:hAnsi="TimesNewRomanPS-Italic" w:cs="TimesNewRomanPS-Italic"/>
          <w:i/>
          <w:iCs/>
          <w:noProof/>
          <w:color w:val="292526"/>
          <w:sz w:val="22"/>
          <w:szCs w:val="22"/>
          <w:lang w:eastAsia="ru-RU"/>
        </w:rPr>
        <w:t xml:space="preserve">muutetaan </w:t>
      </w:r>
      <w:r w:rsidRP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>5 päivänä elokuuta 1983 annetun lastensuojelulain (683/1983) 24 §:n 1 momentti,</w:t>
      </w:r>
      <w:r w:rsid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 xml:space="preserve"> </w:t>
      </w:r>
      <w:r w:rsidRP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>25, 26 §:n otsikko, 31, 32 ja 37 §, sellaisena kuin niistä on 37 § osaksi laissa 139/1990, sekä</w:t>
      </w:r>
      <w:r w:rsid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 xml:space="preserve"> </w:t>
      </w:r>
      <w:r w:rsidRPr="008D182A">
        <w:rPr>
          <w:rFonts w:ascii="TimesNewRomanPS-Italic" w:hAnsi="TimesNewRomanPS-Italic" w:cs="TimesNewRomanPS-Italic"/>
          <w:i/>
          <w:iCs/>
          <w:noProof/>
          <w:color w:val="292526"/>
          <w:sz w:val="22"/>
          <w:szCs w:val="22"/>
          <w:lang w:eastAsia="ru-RU"/>
        </w:rPr>
        <w:t xml:space="preserve">lisätään </w:t>
      </w:r>
      <w:r w:rsidRP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>26 §:ään uusi 3 momentti, 38 §:ään uusi 2 momentti, jolloin nykyinen 2 momentti</w:t>
      </w:r>
      <w:r w:rsid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 xml:space="preserve"> </w:t>
      </w:r>
      <w:r w:rsidRPr="008D182A">
        <w:rPr>
          <w:rFonts w:ascii="TimesNewRomanPS" w:hAnsi="TimesNewRomanPS" w:cs="TimesNewRomanPS"/>
          <w:noProof/>
          <w:color w:val="292526"/>
          <w:sz w:val="22"/>
          <w:szCs w:val="22"/>
          <w:lang w:eastAsia="ru-RU"/>
        </w:rPr>
        <w:t>siirtyy 3 momentiksi ja lakiin uusi 23 a, 25 a, 30 a, 31 a—31 c, 32 a—32 f ja 35 a § seuraavasti:</w:t>
      </w:r>
    </w:p>
    <w:p w:rsidR="008D182A" w:rsidRPr="008D182A" w:rsidRDefault="008D182A" w:rsidP="008D182A">
      <w:pPr>
        <w:autoSpaceDE w:val="0"/>
        <w:autoSpaceDN w:val="0"/>
        <w:adjustRightInd w:val="0"/>
        <w:jc w:val="both"/>
        <w:rPr>
          <w:rFonts w:ascii="TimesNewRomanPS-Bold" w:hAnsi="TimesNewRomanPS-Bold" w:cs="TimesNewRomanPS-Bold"/>
          <w:noProof/>
          <w:color w:val="000000"/>
          <w:sz w:val="20"/>
          <w:szCs w:val="20"/>
          <w:lang w:eastAsia="ru-RU"/>
        </w:rPr>
      </w:pPr>
    </w:p>
    <w:p w:rsidR="008D182A" w:rsidRDefault="008D182A" w:rsidP="008D182A">
      <w:pPr>
        <w:jc w:val="both"/>
        <w:sectPr w:rsidR="008D182A" w:rsidSect="00774672">
          <w:headerReference w:type="default" r:id="rId7"/>
          <w:headerReference w:type="first" r:id="rId8"/>
          <w:pgSz w:w="11906" w:h="16838" w:code="9"/>
          <w:pgMar w:top="680" w:right="1134" w:bottom="2098" w:left="1134" w:header="709" w:footer="709" w:gutter="0"/>
          <w:cols w:space="708"/>
          <w:titlePg/>
          <w:docGrid w:linePitch="360"/>
        </w:sectPr>
      </w:pPr>
    </w:p>
    <w:p w:rsidR="006411F3" w:rsidRDefault="006411F3" w:rsidP="006411F3">
      <w:pPr>
        <w:autoSpaceDE w:val="0"/>
        <w:autoSpaceDN w:val="0"/>
        <w:adjustRightInd w:val="0"/>
        <w:rPr>
          <w:rFonts w:ascii="TimesNewRomanPS-Italic" w:hAnsi="TimesNewRomanPS-Italic" w:cs="TimesNewRomanPS-Italic"/>
          <w:color w:val="000000"/>
          <w:sz w:val="20"/>
          <w:szCs w:val="20"/>
          <w:lang w:val="ru-RU" w:eastAsia="ru-RU"/>
        </w:rPr>
      </w:pP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lastRenderedPageBreak/>
        <w:t>Sijaishuoltoa koskevat yleiset säännökset</w:t>
      </w:r>
    </w:p>
    <w:p w:rsidR="006411F3" w:rsidRDefault="006411F3" w:rsidP="00B53A67"/>
    <w:p w:rsidR="006411F3" w:rsidRDefault="006411F3" w:rsidP="008D182A">
      <w:pPr>
        <w:autoSpaceDE w:val="0"/>
        <w:autoSpaceDN w:val="0"/>
        <w:adjustRightInd w:val="0"/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23 a §</w:t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Säännösten soveltamisalasta</w:t>
      </w:r>
    </w:p>
    <w:p w:rsidR="006411F3" w:rsidRPr="006411F3" w:rsidRDefault="006411F3" w:rsidP="006411F3">
      <w:pPr>
        <w:autoSpaceDE w:val="0"/>
        <w:autoSpaceDN w:val="0"/>
        <w:adjustRightInd w:val="0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Tämän luvun säännöksiä, jotka koskevat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lastensuojelulaitoksen johtajalle tai muulle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henkilöstölle annettua rajoitustoimivaltaa sovelletaan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kaikissa 29 §:ssä tarkoitetuissa lastensuojelulaitoksissa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riippumatta siitä, kuu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luuko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mainittu henkilöstö virkasuhteiseen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muuhun henkilökuntaan, jollei erikseen lailla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toisin säädetä. Muun kuin virkasuhteisen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kilön rikosoikeudellisesta virkavastuusta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tus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toimivallan käytössä säädetään rikoslain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 xml:space="preserve"> </w:t>
      </w:r>
    </w:p>
    <w:p w:rsidR="008D182A" w:rsidRDefault="006411F3" w:rsidP="00B53A67">
      <w:pPr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(39/1889) 40 luvun 12 §:ssä.</w:t>
      </w:r>
    </w:p>
    <w:p w:rsidR="008D182A" w:rsidRDefault="008D182A" w:rsidP="00B53A67">
      <w:pPr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24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Ihmissuhteet ja yhteydenpito</w:t>
      </w:r>
    </w:p>
    <w:p w:rsidR="008D182A" w:rsidRDefault="008D182A" w:rsidP="00B53A67">
      <w:pP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Sijaishuollossa lapselle on turvattava hänen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kehityksensä kannalta tärkeät, jatkuvat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turvalliset ihmissuhteet. Lapsella on oikeus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tavata vanhempiaan ja muita hänelle läheisiä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henkilöitä vastaanottamalla vieraita tai vierai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lemalla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sijaishuoltopaikan ulkopuolella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sekä pitää heihin muuten yhteyttä käyttämällä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puhelinta tai lähettämällä ja vastaanottamalla</w:t>
      </w:r>
      <w:r w:rsidR="008D182A">
        <w:rPr>
          <w:rFonts w:ascii="TimesNewRomanPS-Italic" w:hAnsi="TimesNewRomanPS-Italic" w:cs="TimesNewRomanPS-Italic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kirjeitä tai niihin rinnastettavia muita luotta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muksellisia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viestejä taikka muita lähetyksiä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</w:p>
    <w:p w:rsidR="008D182A" w:rsidRDefault="008D182A" w:rsidP="00B53A67">
      <w:pPr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— — — — — — — — — — — —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— — —</w:t>
      </w:r>
    </w:p>
    <w:p w:rsidR="008D182A" w:rsidRDefault="008D182A" w:rsidP="00B53A67">
      <w:pPr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25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Yhteydenpidon rajoittaminen</w:t>
      </w:r>
    </w:p>
    <w:p w:rsidR="008D182A" w:rsidRDefault="008D182A" w:rsidP="00B53A67">
      <w:pP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Sijaishuollossa olevan lapsen oikeutta pitää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yhteyttä vanhempiinsa tai muihin hänelle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heisiin henkilöihin saadaan 25 a §:ssä tar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koitetulla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päätöksellä rajoittaa, jos yhtey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denpidosta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ei ole voitu 11 §:ssä tarkoitetussa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huoltosuunnitelmassa tai erityisestä syystä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muutoin sopia lapsen ja hänen vanhempien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muiden läheistensä kanssa, ja jos: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1) yhteydenpito vaarantaa lapsen sijaishuol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tarkoituksen toteuttamisen ja rajoittam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lapsen hoidon ja kasvatuksen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kannal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 välttämätöntä;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2) yhteydenpidosta on vaaraa lapsen hen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gelle,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terveydelle, kehitykselle tai turvalli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suudelle;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3) rajoittaminen on välttämätöntä vanhempien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perheen muiden lasten, perhekodin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toksen muiden lasten tai henkilöstön turval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lisuuden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vuoksi; taikka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4) 12 vuotta täyttänyt lapsi vastustaa yhtey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denpitoa;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sama koskee myös 12 vuotta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nuo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rempaa lasta, jos hän on niin kehittynyt,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että hänen tahtoonsa voidaan kiinnittää huomiota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</w:p>
    <w:p w:rsidR="007F2241" w:rsidRDefault="007F2241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 momentissa tarkoitetuin edellytyksin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saadaan: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1) rajoittaa lapsen oikeutta tavata vanhem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muita läheisiään;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2) rajoittaa lapsen oikeutta pitää yhteyttä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heisiinsä puhelimitse tai muita yhteyden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pitolaitteita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välineitä käyttäen;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3) lukea ja pidättää lapsen lähettämä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hä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nelle osoitettu yksittäinen kirje tai siihen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rin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nastettava muu luottamuksellinen viesti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tarkastaa ja pidättää muu lähetys; sekä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4) ottaa rajoituksen ajaksi sijaishuoltopaikan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haltuun lapsen hallussa olevat yhteyden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pitoon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käytettävät laitteet ja välineet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taa niiden käyttöä.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 momentissa mai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nituin edellytyksin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voidaan lapsen olinpaikka huostassapidon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aikana jättää ilmaisematta vanhemmille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huoltajille.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1—3 mo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mentissa tarkoitettua yhteydenpidon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tamista voidaan käyttää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vain siinä määrin kuin kussakin tapauksessa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laissa sääde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tyn tarkoituksen saavuttamiseksi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välttämä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töntä. Pidätetyt kirjeet tai muut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luottamuk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selliset viestit on säilytettävä erillään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muista lasta koskevista asiakirjoista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siten, että ne ovat vain 25 a §:n 2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tettujen tahojen luettavissa.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8D182A" w:rsidRDefault="008D182A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8D182A" w:rsidRDefault="006411F3" w:rsidP="008D182A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25 a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Yhteydenpidon rajoittamista koskeva päätös</w:t>
      </w:r>
    </w:p>
    <w:p w:rsidR="008D182A" w:rsidRDefault="008D182A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FF0414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25 §:n 1—3 momentissa tarkoitetusta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yhteydenpidon rajoittamisesta on tehtävä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päätös, jonka tulee olla määräaikainen,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enintään yksi vuosi kerrallaan. Päätöksessä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mainittava rajoituksen syy, henkilöt, joihin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rajoitus kohdistuu, millaista yhteydenpitoa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rajoitus koskee ja missä laajuudessa rajoitus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toteutetaan.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FF0414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Yhteydenpidon rajoittamisesta tekee päätök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sosiaalihuoltolain 6 §:n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tarkoitettu toimielin. Lyhytaikaisesta, enintään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30 vuorokautta kestävästä 25 §:n 1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 momentissa tarkoitetusta rajoittamisesta voi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kuitenkin päättää myös lastensuojelulaitoksen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johtaja. Jos rajoittamista on tarpeen jatkaa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 on alun perin tarpeen määrätä 30 vuoro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kautta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vuorokautta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pidemmäksi, päättää asi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asta toimielin.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Yhteydenpidon rajoitus on poistettava heti,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kun se ei enää ole 25 §:n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tarkoitetulla tavalla tarpeellinen.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FF0414" w:rsidRDefault="00FF0414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FF0414" w:rsidRDefault="006411F3" w:rsidP="00FF0414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26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Tietojen antaminen lapselle. Mahdollisuus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keskusteluun</w:t>
      </w:r>
    </w:p>
    <w:p w:rsidR="00FF0414" w:rsidRDefault="006411F3" w:rsidP="00FF0414">
      <w:pPr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— — — — — — — — — — — — —</w:t>
      </w:r>
    </w:p>
    <w:p w:rsidR="00FF0414" w:rsidRDefault="00FF0414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FF0414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Lapselle on järjestettävä riittävä mahdollisuus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henkilökohtaiseen keskusteluun häntä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itse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ään ja sijaishuollon toteuttamista koskevista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asioista 10 §:n 3 momentissa tarkoitetun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sen asioista vastaavan sosiaalityöntekijän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kanssa huoltosuunnitelmaan tarkemmin kir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jattavalla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tavalla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FF0414" w:rsidRDefault="00FF0414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FF0414" w:rsidRDefault="006411F3" w:rsidP="00FF0414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30 a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FF0414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Rajoitustoimenpiteiden käyttämisen yleiset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edellytykset</w:t>
      </w:r>
    </w:p>
    <w:p w:rsidR="007F2241" w:rsidRDefault="007F2241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84EA2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Laitoshuoltona järjestettävän sijaishuollon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aikana lapseen saa 31, 31 a—31 c, 32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a—32 d §:n nojalla kohdistaa rajoitustoimen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piteitä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vain siinä määrin kuin huostaanoton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tarkoituksen toteuttaminen, lapsen oma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toisen henkilön terveys tai turvallisuus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taikka muun mainituissa säännöksissä säädetyn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edun turvaaminen välttämättä vaatii.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Toimen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piteet on toteutettava mahdollisimman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tur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vallisesti ja lapsen ihmisarvoa kunnioittaen.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084EA2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84EA2" w:rsidRDefault="006411F3" w:rsidP="00084EA2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31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Aineiden ja esineiden haltuunotto</w:t>
      </w:r>
    </w:p>
    <w:p w:rsidR="00084EA2" w:rsidRDefault="00084EA2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84EA2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lapsella on hallussaan päihtymistarkoi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tuksessa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käytettävää ainetta tai tällaisen ai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käyttöön erityisesti soveltuvia välineitä,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 on otettava laitoksen haltuun. Samoin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otettava laitoksen haltuun lapsella olevat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aineet tai esineet, jotka on tarkoitettu lapsen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itsensä tai toisen henkilön vahingoittamiseen.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haltuun saadaan ottaa aineet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esineet, jotka ominaisuuksiensa puolesta soveltuvat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vaarantamaan lapsen omaa tai toisen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henkilön henkeä, terveyttä tai turval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lisuutta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vahingoittamaan omaisuutta, jos on todennäköistä,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että lapsi käyttää aineita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esineitä tämän säännöksen tarkoittamalla ta-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valla. Haltuun otetun omaisuuden luovuttami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hävittämiseen sovelletaan, mitä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muussa laissa säädetään. Alkoholilaissa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(1143/1994) tarkoitetun alkoholijuoman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muun alkoholipitoisen aineen sekä lain 34 §:n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5 momentissa tarkoitetun juoman hävittämi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säädetään alkoholilain 60 §:ssä. Hal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tuun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otettu omaisuus on sijaishuollon päätty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essä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laitoksessa palautettava lapselle, jollei omaisuuden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palauttamisesta tai hävittämi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muussa laissa toisin säädetä.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 momentissa tarkoitetun haltuunoton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voi tehdä laitoksen johtaja tai 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hoito- ja kasva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tushenkilökuntaan kuuluva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henkilö. Asiasta on viipymättä ilmoitettava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johtajalle tai hänen määräämälleen hoito-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kasvatushenkilö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kuntaan kuuluvalle henkilölle,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jonka tulee tehdä haltuunotosta päätös,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jollei omaisuutta palauteta.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haltuun saadaan lisäksi ottaa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lapsella olevat lapsen oman tai toisten lasten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sijaishuollon järjestämistä tai laitoksen yleistä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järjestystä todennäköisesti vakavasti haittaavat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 kuin 1 momentissa tarkoitetut aineet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esineet. Haltuunotosta tekee pää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töksen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johtaja tai hänen määrää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mänsä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hoito- ja kasvatushenkilökuntaan kuu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luva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henkilö. Toimenpidettä ei saa jatkaa pidempään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kuin se säännöksessä mainitusta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syystä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lapsen hoidon ja kasvatuksen kan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nalta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välttämätöntä.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Pr="007F2241" w:rsidRDefault="007F2241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84EA2" w:rsidRDefault="006411F3" w:rsidP="00084EA2">
      <w:pPr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31 a §</w:t>
      </w:r>
    </w:p>
    <w:p w:rsidR="00084EA2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Henkilöntarkastus ja henkilönkatsastus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084EA2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on perusteltua syytä epäillä, että lapsella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vaatteissaan tai muutoin yllään 31 §:n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 momentissa tarkoitettuja aineita tai esineitä,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hänelle saadaan asian tutkimiseksi tehdä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henkilöntarkastus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. Tarkastuksen tekee laitok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johtaja tai hänen määräämänsä 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hoito- ja kasvatushenkilökuntaan kuuluva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henkilö. Tarkastus on tehtävä laitoksen hoi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kasvatushenkilökuntaan kuuluvan toisen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henkilön läsnä ollessa, jollei erityisestä syystä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muuta johdu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.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Tarkastuksen tekijän ja siinä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läsnä olevan henkilön on oltava lapsen kans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samaa sukupuolta, jollei kyseessä ole terveydenhuollon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ammattihenkilö.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on perusteltua syytä epäillä, että lapsi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käyttänyt 31 §:n 1 momentissa tarkoitettuja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tarkoitettuja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päihdyttäviä aineita, häneen saadaan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kohdistaa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henkilönkatsastus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, joka voi käsittää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puhalluskokeen suorittamisen tai veri-, hius-,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virtsa- tai sylkinäytteen ottamisen. Katsastuksen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toimittamisesta päättää ja kat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sastuksen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toimittaa laitoksen johtaja tai hä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nen määräämänsä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hoito- ja kas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vatushenkilökuntaan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 henkilö tai muu tehtävään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soveltuvan ammatillisen tutkinnon omaava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henkilö. Katsastus tulee toimittaa niin, ettei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siitä aiheudu tarpeetonta haittaa lapselle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henkilönkatsastuksen toimittaa muu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kuin terveydenhuollon ammattihenkilö, läsnä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oltava laitoksen hoito- ja kasvatushenki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 toinen henkilö tai muu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tehtävään soveltuvan ammatillisen tutkinnon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omaava henkilö. Verinäytteen saa ottaa vain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terveydenhuollon ammattihenkilö. Katsas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ei saa toimittaa eikä siinä olla läsnä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kanssa eri sukupuolta oleva henkilö,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jollei kyseessä ole terveydenhuollon ammatti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 ja 3 momentissa säädetyn estämättä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henkilöntarkastuksen tai henkilönkatsastuk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-s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suorittava ja siinä läsnä oleva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 voi kuitenkin olla eri sukupuolta kuin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lapsi, jos toimenpiteen suorittaminen välittömästi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välttämätöntä lapsen tai toisen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henkilön turvallisuuden varmistamiseksi.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6411F3" w:rsidP="00084EA2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31 b §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Omaisuuden ja lähetysten tarkastaminen.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84EA2" w:rsidRPr="00084EA2" w:rsidRDefault="00084EA2" w:rsidP="00084EA2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Lähetysten luovuttamatta jättäminen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on perusteltua syytä epäillä, että lapsella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hallussaan 31 §:n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tarkoitettuja aineita tai esineitä saadaan hänen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käytössään olevat tilat tai hallussaan oleva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omaisuus tarkastaa.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on perusteltua syytä epäillä, että lapselle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osoitettu kirje tai siihen rinnastettava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 luottamuksellinen viesti taikka muu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lähetys sisältää 31 §:n 1 momentissa tarkoitettuja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aineita tai esineitä, saadaan lähetyksen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sisältö tarkastaa kirjettä tai muuta luottamuksellista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viestiä lukematta.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 ja 2 momentissa tarkoitetusta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tarkas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tamisesta päättää ja tarkastamisen tekee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johtaja tai hänen määräämänsä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hoito- ja kasvatushenkilökuntaan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 henkilö. Tarkastaminen on tehtävä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ja laitoksen hoito- ja kasvatushenki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kuuluvan toisen henkilön läsnä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ollessa. Lapsen käytössä olevat tilat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hallussa oleva omaisuus voidaan kuitenkin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erityisestä syystä tarkastaa myös lapsen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toisen henkilön läsnä olematta. Lapselle tulee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selvittää tarkastuksen syy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Sosiaalihuoltolain 6 §:n 1 momentissa tarkoitetulla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toimielimellä on lisäksi oikeus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erityisestä syystä tehdä päätös siitä, että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 momentissa tarkoitettu viesti on jätettävä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kokonaan tai osaksi toimittamatta tai muu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lähetys kokonaan tai osaksi luovuttamatta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lapselle, jos viestin tai lähetyksen sisällön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voidaan olosuhteet kokonaisuutena huomioi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perustellusti arvioida vakavasti vaaran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tavan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tai toisen henkilön henkeä,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terveyttä, turvallisuutta tai kehitystä. Lähetys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viipymättä toimitettava toimielimelle päätöksentekoa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varten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084EA2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84EA2" w:rsidRDefault="006411F3" w:rsidP="00084EA2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31 c §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Kiinnipitäminen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84EA2" w:rsidRDefault="00084EA2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johtaja tai laitoksen hoito-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kasvatushenkilökuntaan kuuluva henkilö voi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rauhoittamiseksi pitää kiinni lapsesta,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lapsi sekavan tai uhkaavan käyttäyty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misensä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perusteella todennäköisesti vahin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goittaisi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itseään tai muita ja kiinnipitäminen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oman tai toisen henkilön hengen,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terveyden tai turvallisuuden välittömän vaa</w:t>
      </w:r>
      <w:r w:rsidR="00084EA2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rantumisen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vuoksi taikka omaisuuden mer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kittävän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vahingoittamisen estämiseksi välttä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mätöntä.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Kiinnipitämisen on oltava luonteeltaan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hoidol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lista ja huollollista sekä kokonaisuutena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arvioiden puolustettavaa, kun otetaan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huomioon lapsen käyttäytyminen ja tilanne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muutoinkin. Kiinnipitäminen voi pitää sisällään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myös lapsen siirtämisen. Kiinni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pitäminen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lopetettava heti, kun se ei enää ole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välttämätöntä.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Kiinnipitämisestä on siihen turvautuneen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henkilön annettava laitoksen johtajalle kirjalli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selvitys. Laitoksen johtajan turvautuessa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kiinnipitämiseen on selvitys annettava sosi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aalihuoltolain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6 §:n 1 momentissa tarkoitetulle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toimielimelle.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Kiinnipitämisen liioittelusta säädetään rikoslain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(39/1889) 4 luvun 6 §:n 3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7 §:ssä.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7F2241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7F2241" w:rsidRDefault="006411F3" w:rsidP="007F2241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Liikkumisvapauden rajoittaminen</w:t>
      </w:r>
    </w:p>
    <w:p w:rsidR="007F2241" w:rsidRDefault="007F2241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Lapselle saadaan, jos se on hänen huoltonsa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kannalta välttämätöntä ja jos se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edun mukaista, asettaa määräajaksi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kielto poistua laitoksen alueelta, laitoksesta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tietyn asuinyksikön tiloista, jos: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1) lapsi on otettu huostaan sillä perusteella,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että hän on vaarantanut vakavasti terveyttään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kehitystään käyttämällä päihteitä, tekemällä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muun kuin vähäisenä pidettävän rikollisen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teon tai muulla niihin verrattavalla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käyttäytymisellään;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2) lapsi laitoksessa käyttäytyy 1 kohdassa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mainitulla tavalla;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3) rajoitus on lapsen hoidon tai huollon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nalta muutoin tarpeen lapsen suojelemiseksi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häntä itseään vakavasti vahingoittavalta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käyttäytymiseltä.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Edellä 1 momentissa tarkoitettu rajoittaminen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ei saa ilman uutta päätöstä jatkua yli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seit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semää vuorokautta. Yhtäjaksoisesti rajoitta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saa jatkua enintään 30 vuorokautta.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Rajoittamista ei saa määrätä laajempana eikä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pidemmäksi ajaksi kuin lapsen hoito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kasvatus välttämättä edellyttää. Toimenpide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myös lopetettava heti, kun se ei enää ole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 momentin tarkoittamalla tavalla välttä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mätön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Laitoksen johtaja tai hänen määräämänsä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hoito- ja kasvatushenkilökuntaan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 henkilö voi päättää yhteensä enintään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seitsemän vuorokautta kestävästä rajoittamisesta.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Tätä pidemmästä yhteensä enintään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30 vuorokautta kestävästä rajoitta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misesta tekee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päätöksen sosiaalihuoltolain 6 §:n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tarkoitettu toimielin. Asias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viipymättä ilmoitettava toimielimelle päätöksen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tekemistä varten.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7F2241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7F2241" w:rsidRDefault="006411F3" w:rsidP="007F2241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a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7F2241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Eristäminen</w:t>
      </w:r>
    </w:p>
    <w:p w:rsidR="007F2241" w:rsidRDefault="007F2241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Lapsi saadaan eristää laitoksen muista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lapsista, jos hän käyttäytymisensä perusteella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vaaraksi itselleen tai muille taikka jos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eristäminen on muusta erityisen perustellusta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syystä lapsen hengen, terveyden tai turvallisuuden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kannalta välttämätöntä. Eristä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mistä ei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saa määrätä laajempana eikä pidemmäksi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ajaksi kuin lapsen huolenpito ja hoito välttämättä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edellyttää. Eristämistä ei saa ilman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uutta päätöstä jatkaa yhtäjak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soisesti yli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24 tuntia. Eristäminen on lope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tettava heti, kun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 ei enää ole välttämätöntä.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7F2241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Eristämisestä tekee päätöksen 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johtaja tai hänen määräämänsä 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hoito- ja kasvatushenkilökuntaan kuuluva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henkilö. Eristämisen tulee tapahtua 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hoito- ja kasvatushenkilöstön jatkuvan huol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alaisena. Kun lapsi on määrätty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eristettäväksi, on samalla määrättävä, kenen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tehtävänä on huolehtia lapsen turvallisuu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desta.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olosuhteet eristämisen aikana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järjestettävä niin, että lapsi saa riittävän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huolenpidon ja hoidon sekä mahdollisuuden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keskustella hoitajan kanssa.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Eristämistä voidaan välittömästi jatkaa uudel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päätöksellä vain, jos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sää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detyt eristämisen edellytykset ovat edelleen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olemassa. Edellytyksenä on lisäksi, ettei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sen hoitoa ole edelleenkään tarkoituksen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mukaista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mahdollista järjestää muulla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valla. Tällöinkään eristämisen pisin kokonais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aika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ei saa ylittää 48 tuntia.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Ennen eristämisen jatkamista koskevan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päätöksen tekemistä on lapselle suoritettava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lääkärintarkastus, mikäli se ei ole ilmeisen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tarpeetonta. Tarvittaessa lääkärintarkastus tulee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suorittaa myös eristämisen alkaessa tai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eristämisen aikana.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Laitoksen johtajan tai hänen määräämänsä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hoito- ja kasvatushenkilökuntaan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kuuluvan henkilön tulee viipymättä ilmoittaa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eristämisestä tai sen jatkamisesta sosiaa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lihuoltolain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6 §:n 1 momentissa tarkoitetulle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toimielimelle.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b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Erityinen huolenpito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Erityisellä huolenpidolla tarkoitetaan sijais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huollossa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olevalle lapselle lastensuojelu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järjestettävää erityistä, moni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ammatillista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hoitoa ja huolenpitoa, jonka aikana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liikkumisvapautta voidaan hä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nen hoitonsa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huolenpitonsa edellyttämässä laajuudessa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rajoittaa siten kuin jäljempänä 32 c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d §:ssä säädetään.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c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Erityisen huolenpidon järjestäminen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Lapselle voidaan sijaishuollon aikana, jos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hänen erittäin tärkeä yksityinen etunsa sitä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välttämättä vaatii, järjestää erityistä huolen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pitoa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vakavan päihde- tai rikoskierteen katkai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semiseksi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kun lapsen oma käyttäytyminen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muutoin vakavasti vaarantaa hänen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keään, terveyttään tai kehitystään. Erityisen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huolenpidon tavoitteena on katkaista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häntä itseään vahingoittava käyttäytyminen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mahdollistaa lapselle annettava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kokonais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valtainen huolenpito. Edellytyksenä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lisäksi, että sijaishuoltoa ei ole lapsen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hoidon ja huolenpidon tarve huomioon ottaen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mah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dollista järjestää muulla tavoin.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Päätöksen erityisen huolenpidon järjestämisestä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tekee sosiaalihuoltolain 6 §:n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koitettu toimielin.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Päätöksentekoon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ei sovelleta sosiaali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huoltolain 12 §:n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 momenttia. Päätöksen on perustuttava erityisen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huolenpidon järjes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tämistä varten tehtyyn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tilanteen moniammatilliseen arvioon,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joka perustuu kasvatukselliseen, sosiaalityön,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psykologi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seen ja lääketieteelliseen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asiantuntemuk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seen.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Erityistä huolenpitoa voidaan järjestää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enintään 30 vuorokauden ajan. Määräaika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lasketaan erityisen huolenpidon tosiasial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lisesta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aloittamisesta. Päätös erityisen huo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järjestämisestä raukeaa, jollei täy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täntöönpanoa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ole voitu aloittaa 90 vuoro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kauden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kuluessa päätöksen tekemisestä.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huolenpitoa voidaan erittäin painavasta syystä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jatkaa enintään 60 vuorokaudella, mikäli lapsen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sijaishuollon järjestäminen sitä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mainituin perustein edelleen välttämättä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vaatii. Erityi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nen huolenpito on lopetettava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välittömästi, jos se osoittautuu tehottomaksi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sille asetettujen tavoitteiden saavuttamiseksi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kun sen tarvetta ei enää ole.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d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Erityisen huolenpidon toimeenpano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Erityistä huolenpitoa voidaan järjestää lasten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suojelulaitoksessa,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jonka käytettävissä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erityisen huolenpidon järjestämiseksi riittävä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kasvatuksellinen, sosiaalityön, psykologinen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lääketieteellinen asiantuntemus. Laitok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tulee olla toiminnan edellyttämä tehtävään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soveltuvan ammatillisen tutkinnon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omaava henkilöstö ja erityisen huolenpidon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järjestämiseksi terveydellisiltä ja muilta olosuhteiltaan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asianmukaiset tilat. Erityisen huolenpidon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ajan lasta voidaan estää poistumasta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näistä tiloista ilman lupaa tai valvontaa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Erityisen huolenpidon aikana on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tarkoitetun asiantuntemuksen omaavien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henkilöiden tavattava säännöllisesti lasta sekä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osallistuttava lapsen erityisen huolenpidon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suunnitteluun, toimeenpanoon ja arviointiin.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Erityisen huolenpidon aikana lapselle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lisäksi tehtävä tarvittavat lääkärintarkastuk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set.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Niistä ja muista erityisen huolenpidon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toteuttamista koskevista toimenpiteistä ja niiden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vaikutuksesta lapseen ja hänen tilan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teeseensa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sekä lapsen vastaisen sijais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huollon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järjestämiseen on erityisen huolen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pidon aikana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pidettävä kirjaa. Kirjauksen sisällöstä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voidaan tarvittaessa säätää tar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kemmin sosiaali-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terveysministeriön asetuksella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.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Lasta koskeva huoltosuunnitelma on tar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kistettava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erityisen huolenpidon päättyessä.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67082E" w:rsidRDefault="0067082E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67082E" w:rsidRDefault="0067082E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67082E" w:rsidRDefault="0067082E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67082E" w:rsidRDefault="0067082E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32 e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Rajoitustoimenpiteiden kirjaaminen.</w:t>
      </w:r>
      <w:r w:rsidR="00030665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Vaikutus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huoltosuunnitelmaan sekä hoito- ja kasvatus</w:t>
      </w:r>
      <w:r w:rsidR="00030665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  <w:t>-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suunnitelmaan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Lain 31, 31 a—31 c, 32 ja 32 a §:ssä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tarkoitettujen rajoitustoimenpiteiden käytön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seurannan ja valvonnan turvaamiseksi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lastensuojelulaitoksen asianmukaisesti kirjat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käyttämänsä rajoitustoimenpiteet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.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Kirjaa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tulee sisältää rajoitustoimenpiteen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kuvaus, toimenpiteen peruste ja kesto, toimenpiteestä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päättäneen, sen käytännössä toteuttaneen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siinä läsnä olleen henkilön nimi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sekä tarvittaessa 31 a §:n 1 momentissa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31 b §:n 3 momentissa tarkoitettu erityinen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syy. Lisäksi on mainittava toimenpiteen mah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dollinen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vaikutus hoito- ja kasvatus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suunnitelmaan.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Kirjaamisessa on myös mainittava,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miten lasta on kuultu ennen rajoitustoimenpiteestä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päättämistä tai sen toteuttamista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mielipide asiasta. Kirjaamisen sisällöstä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voidaan tarvittaessa säätää tarkemmin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sosiaali- ja terveys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ministeriön asetuksella.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Lasta koskevaa huoltosuunnitelmaa tarkis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tettaessa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tulee erityisesti arvioida lapseen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kohdistettujen rajoitustoimenpiteiden tavoit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teiden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toteutumista ja niiden vaikutusta huoltosuunnitelmaan.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Jos tarvetta huolto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suunnitelman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välittömään tarkistamiseen ilmenee,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johtajan tai hänen mää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räämänsä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laitoksen hoito- ja kasvatus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henkilökuntaan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kuuluvan henkilön tulee viipymättä ilmoittaa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asiasta sosiaalihuoltolain 6 §:n 1 momentissa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tarkoitetulle toimielimelle.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kanssa tulee riittävästi keskustella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häneen kohdistettujen rajoitustoimenpiteiden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syistä ja mahdollisista vaikutuksista hoito- 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kasvatussuunnitelmaan ja huoltosuunnitel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maan.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32 f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Lääninhallituksen valvonta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Lääninhallituksen on seurattava lastensuo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jelulaitoksen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toimintaa ja erityisesti valvottava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tämän lain nojalla tapahtuvaa rajoitus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toimenpiteiden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käyttöä. Lääninhallitus voi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valvontaa toteuttaessaan varata lapselle tilai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suuden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luottamukselliseen keskusteluun lääninhallituksen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edustajan kanssa.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35 a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Erityisiä säännöksiä rajoituksia koskevasta</w:t>
      </w:r>
      <w:r w:rsidR="008D182A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muutoksenhausta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Päätökseen, joka koskee 25 §:n 3 momen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tai 25 a §:ssä tarkoitettua yhteydenpidon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rajoittamista taikka 31 §:ssä, 31 b §:n 4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momentissa, 32, 32 a tai 32 c §:ssä tarkoitettuja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rajoitustoimenpiteitä saa hakea muutosta.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Muutosta muun henkilön kuin sosi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aalihuoltolain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6 §:n 1 momentissa tarkoitetun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toimielimen alaisen viranhaltijan päätökseen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haetaan valittamalla hallinto-oikeuteen. Vali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tus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tehtävä 30 päivän kuluessa päätöksen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tiedoksi saamisesta. Muutoksenhausta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muutoin voimassa, mitä hallintolainkäyttö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laissa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(586/1996) säädetään.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Yhteydenpidon rajoittamista koskevaan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päätökseen saa hakea muutosta 12 vuotta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täyttänyt lapsi sekä päätöksen kohteena olevan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lapsen vanhempi, huoltaja tai muu henkilö,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jonka yhteydenpitoa lapseen päätöksellä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on rajoitettu.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030665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37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Muutoksenhaku korkeimpaan hallintooikeuteen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Hallinto-oikeuden tämän lain nojalla anta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päätökseen lapsen huostaanottoa, sijaishuoltoon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sijoittamista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,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yhteydenpidon rajoittamista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ja huostassa pitämisen lakkaa</w:t>
      </w:r>
      <w:r w:rsidR="0067082E"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sekä 13 §:n 1 momentissa säädetyssä asumista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koskevassa asiassa saa hakea valittamalla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muutosta korkeimmalta hallinto-oikeudelta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siten kuin hallintolainkäyttölaissa on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säädetty. Valituskirja liitteineen voidaan antaa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myös hallinto-oikeuteen korkeimmalle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hallinto-oikeudelle toimitettavaksi.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Muuhun kuin 1 momentissa säädettyyn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hallinto-oikeuden tämän lain nojalla antamaan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perhe- ja yksilökohtaista lastensuojelua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koskevaan päätökseen ei saa valittamalla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hakea muutosta.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67082E">
      <w:pPr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38 §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030665">
        <w:rPr>
          <w:rFonts w:ascii="TimesNewRomanPS" w:hAnsi="TimesNewRomanPS" w:cs="TimesNewRomanPS"/>
          <w:color w:val="292526"/>
          <w:sz w:val="22"/>
          <w:szCs w:val="22"/>
          <w:lang w:eastAsia="ru-RU"/>
        </w:rPr>
        <w:br/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Lainvoimaa vailla olevan päätöksen täytäntöönpano</w:t>
      </w:r>
    </w:p>
    <w:p w:rsidR="00030665" w:rsidRDefault="00030665" w:rsidP="008D182A">
      <w:pPr>
        <w:jc w:val="both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eastAsia="ru-RU"/>
        </w:rPr>
      </w:pPr>
    </w:p>
    <w:p w:rsidR="00030665" w:rsidRDefault="008D182A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 xml:space="preserve"> </w:t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— — — — — — — — — — — — —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Yhteydenpidon rajoittamista sekä 35 a §:n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 momentissa tarkoitettuja rajoitustoimenpiteitä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koskeva päätös voidaan panna täytäntöön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heti muutoksenhausta huolimatta.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— — — — — — — — — — — — —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Tämä laki tulee voimaan 1 päivänä marraskuuta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2006. Lakia sovelletaan niihin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lastRenderedPageBreak/>
        <w:t>35 a §:n 1 momentissa tarkoitettuihin päätöksiin,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jotka on tehty lain voimaantulon jälkeen.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Ennen lain voimaantuloa voidaan ryhtyä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sen täytäntöönpanon edellyttämiin toimenpiteisiin.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  <w:sectPr w:rsidR="00030665" w:rsidSect="008D182A">
          <w:type w:val="continuous"/>
          <w:pgSz w:w="11906" w:h="16838" w:code="9"/>
          <w:pgMar w:top="680" w:right="1134" w:bottom="2098" w:left="1134" w:header="709" w:footer="709" w:gutter="0"/>
          <w:cols w:num="2" w:space="709"/>
          <w:titlePg/>
          <w:docGrid w:linePitch="360"/>
        </w:sectPr>
      </w:pP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Naantalissa 29 päivänä kesäkuuta 2006</w:t>
      </w:r>
      <w:r w:rsidR="008D182A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>Tasavallan Presidentti</w:t>
      </w:r>
      <w:r w:rsidR="008D182A"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30665" w:rsidRDefault="006411F3" w:rsidP="008D182A">
      <w:pPr>
        <w:jc w:val="both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>TARJA HALONEN</w:t>
      </w:r>
      <w:r w:rsidR="008D182A"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 xml:space="preserve"> </w:t>
      </w:r>
    </w:p>
    <w:p w:rsidR="00030665" w:rsidRDefault="00030665" w:rsidP="008D182A">
      <w:pPr>
        <w:jc w:val="both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6411F3" w:rsidRPr="00B53A67" w:rsidRDefault="00030665" w:rsidP="008D182A">
      <w:pPr>
        <w:jc w:val="both"/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  <w:tab/>
      </w: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  <w:tab/>
      </w:r>
      <w:r w:rsidR="006411F3"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Peruspalveluministeri </w:t>
      </w:r>
      <w:r w:rsidR="006411F3"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Liisa Hyssälä</w:t>
      </w:r>
      <w:r w:rsidR="008D182A">
        <w:rPr>
          <w:rFonts w:ascii="TimesNewRomanPS" w:hAnsi="TimesNewRomanPS" w:cs="TimesNewRomanPS"/>
          <w:color w:val="000000"/>
          <w:sz w:val="20"/>
          <w:szCs w:val="20"/>
          <w:lang w:val="ru-RU" w:eastAsia="ru-RU"/>
        </w:rPr>
        <w:t xml:space="preserve"> </w:t>
      </w:r>
      <w:r w:rsidR="008D182A">
        <w:t xml:space="preserve"> </w:t>
      </w:r>
    </w:p>
    <w:sectPr w:rsidR="006411F3" w:rsidRPr="00B53A67" w:rsidSect="00030665">
      <w:type w:val="continuous"/>
      <w:pgSz w:w="11906" w:h="16838" w:code="9"/>
      <w:pgMar w:top="680" w:right="1134" w:bottom="209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D4" w:rsidRDefault="000A06D4" w:rsidP="00E10F45">
      <w:r>
        <w:separator/>
      </w:r>
    </w:p>
  </w:endnote>
  <w:endnote w:type="continuationSeparator" w:id="0">
    <w:p w:rsidR="000A06D4" w:rsidRDefault="000A06D4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D4" w:rsidRDefault="000A06D4" w:rsidP="00E10F45">
      <w:r>
        <w:separator/>
      </w:r>
    </w:p>
  </w:footnote>
  <w:footnote w:type="continuationSeparator" w:id="0">
    <w:p w:rsidR="000A06D4" w:rsidRDefault="000A06D4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2" w:rsidRDefault="00E37E32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B4433">
      <w:rPr>
        <w:rStyle w:val="Sivunumero"/>
        <w:noProof/>
      </w:rPr>
      <w:t>2</w:t>
    </w:r>
    <w:r>
      <w:rPr>
        <w:rStyle w:val="Sivunumero"/>
      </w:rPr>
      <w:fldChar w:fldCharType="end"/>
    </w:r>
  </w:p>
  <w:p w:rsidR="00E37E32" w:rsidRDefault="00E37E32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E37E32" w:rsidRDefault="00E37E32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2" w:rsidRDefault="00E37E32" w:rsidP="00BE68F7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autoHyphenation/>
  <w:hyphenationZone w:val="3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1"/>
    <w:rsid w:val="00030665"/>
    <w:rsid w:val="00061F18"/>
    <w:rsid w:val="00084EA2"/>
    <w:rsid w:val="000A06D4"/>
    <w:rsid w:val="001011FF"/>
    <w:rsid w:val="00151795"/>
    <w:rsid w:val="001E1FD5"/>
    <w:rsid w:val="00270F71"/>
    <w:rsid w:val="00275A6C"/>
    <w:rsid w:val="00346859"/>
    <w:rsid w:val="003B5600"/>
    <w:rsid w:val="003C3026"/>
    <w:rsid w:val="004005E2"/>
    <w:rsid w:val="00422DFF"/>
    <w:rsid w:val="004871A6"/>
    <w:rsid w:val="004E55B2"/>
    <w:rsid w:val="005362F0"/>
    <w:rsid w:val="005923AC"/>
    <w:rsid w:val="005D2642"/>
    <w:rsid w:val="005D4577"/>
    <w:rsid w:val="005E25D8"/>
    <w:rsid w:val="005E4EEB"/>
    <w:rsid w:val="00630418"/>
    <w:rsid w:val="006411F3"/>
    <w:rsid w:val="006501F9"/>
    <w:rsid w:val="0067082E"/>
    <w:rsid w:val="006840F7"/>
    <w:rsid w:val="006C49E8"/>
    <w:rsid w:val="00703028"/>
    <w:rsid w:val="00735E47"/>
    <w:rsid w:val="00774672"/>
    <w:rsid w:val="007C092A"/>
    <w:rsid w:val="007C20E4"/>
    <w:rsid w:val="007F2241"/>
    <w:rsid w:val="00885EC9"/>
    <w:rsid w:val="008D182A"/>
    <w:rsid w:val="009227CE"/>
    <w:rsid w:val="00926BF0"/>
    <w:rsid w:val="0099348B"/>
    <w:rsid w:val="009B38D4"/>
    <w:rsid w:val="00A012B8"/>
    <w:rsid w:val="00A26D71"/>
    <w:rsid w:val="00AA38D7"/>
    <w:rsid w:val="00AF3571"/>
    <w:rsid w:val="00B131EA"/>
    <w:rsid w:val="00B50BC7"/>
    <w:rsid w:val="00B53A67"/>
    <w:rsid w:val="00BE5F9D"/>
    <w:rsid w:val="00BE68F7"/>
    <w:rsid w:val="00C43E35"/>
    <w:rsid w:val="00C72FFE"/>
    <w:rsid w:val="00CB4433"/>
    <w:rsid w:val="00D61C98"/>
    <w:rsid w:val="00E071F9"/>
    <w:rsid w:val="00E10F45"/>
    <w:rsid w:val="00E37E32"/>
    <w:rsid w:val="00E504E7"/>
    <w:rsid w:val="00E930B6"/>
    <w:rsid w:val="00EC03EA"/>
    <w:rsid w:val="00F53194"/>
    <w:rsid w:val="00F67EE0"/>
    <w:rsid w:val="00FD1FB8"/>
    <w:rsid w:val="00FE2911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5362F0"/>
    <w:pPr>
      <w:tabs>
        <w:tab w:val="right" w:pos="9072"/>
      </w:tabs>
      <w:spacing w:after="240"/>
      <w:ind w:left="1298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5362F0"/>
    <w:pPr>
      <w:tabs>
        <w:tab w:val="right" w:pos="9072"/>
      </w:tabs>
      <w:spacing w:after="240"/>
      <w:ind w:left="1298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2537</Words>
  <Characters>20558</Characters>
  <Application>Microsoft Office Word</Application>
  <DocSecurity>0</DocSecurity>
  <Lines>171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Laki</vt:lpstr>
    </vt:vector>
  </TitlesOfParts>
  <Company>Suomen Kuntaliitto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</dc:title>
  <dc:creator>TH</dc:creator>
  <cp:lastModifiedBy>Suhonen Victor</cp:lastModifiedBy>
  <cp:revision>2</cp:revision>
  <dcterms:created xsi:type="dcterms:W3CDTF">2017-02-07T12:31:00Z</dcterms:created>
  <dcterms:modified xsi:type="dcterms:W3CDTF">2017-02-07T12:31:00Z</dcterms:modified>
</cp:coreProperties>
</file>