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EC" w:rsidRPr="005B0875" w:rsidRDefault="00220BEC" w:rsidP="00220BEC">
      <w:p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overflowPunct w:val="0"/>
        <w:autoSpaceDE w:val="0"/>
        <w:autoSpaceDN w:val="0"/>
        <w:adjustRightInd w:val="0"/>
        <w:jc w:val="both"/>
        <w:rPr>
          <w:spacing w:val="-2"/>
          <w:sz w:val="20"/>
          <w:szCs w:val="20"/>
        </w:rPr>
      </w:pPr>
      <w:bookmarkStart w:id="0" w:name="_GoBack"/>
      <w:bookmarkEnd w:id="0"/>
    </w:p>
    <w:p w:rsidR="00574225" w:rsidRPr="00B35AAE" w:rsidRDefault="00B35AAE" w:rsidP="00220BEC">
      <w:p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overflowPunct w:val="0"/>
        <w:autoSpaceDE w:val="0"/>
        <w:autoSpaceDN w:val="0"/>
        <w:adjustRightInd w:val="0"/>
        <w:jc w:val="both"/>
        <w:rPr>
          <w:b/>
          <w:bCs/>
          <w:spacing w:val="-2"/>
          <w:sz w:val="16"/>
          <w:szCs w:val="16"/>
        </w:rPr>
      </w:pPr>
      <w:r w:rsidRPr="00B35AAE">
        <w:rPr>
          <w:b/>
          <w:bCs/>
          <w:spacing w:val="-2"/>
          <w:sz w:val="16"/>
          <w:szCs w:val="16"/>
        </w:rPr>
        <w:t>v</w:t>
      </w:r>
      <w:r w:rsidR="00574225" w:rsidRPr="00B35AAE">
        <w:rPr>
          <w:b/>
          <w:bCs/>
          <w:spacing w:val="-2"/>
          <w:sz w:val="16"/>
          <w:szCs w:val="16"/>
        </w:rPr>
        <w:t>aikutuksiltaan vähäinen muun kuin ranta-asemakaavan</w:t>
      </w:r>
      <w:r w:rsidRPr="00B35AAE">
        <w:rPr>
          <w:b/>
          <w:bCs/>
          <w:spacing w:val="-2"/>
          <w:sz w:val="16"/>
          <w:szCs w:val="16"/>
        </w:rPr>
        <w:t xml:space="preserve"> </w:t>
      </w:r>
      <w:r w:rsidR="00574225" w:rsidRPr="00B35AAE">
        <w:rPr>
          <w:b/>
          <w:bCs/>
          <w:spacing w:val="-2"/>
          <w:sz w:val="16"/>
          <w:szCs w:val="16"/>
        </w:rPr>
        <w:t>muutos MRL 191 § 3 mom ( 1441/2006)</w:t>
      </w:r>
    </w:p>
    <w:p w:rsidR="0026456B" w:rsidRPr="005B0875" w:rsidRDefault="0026456B" w:rsidP="00220BEC">
      <w:p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overflowPunct w:val="0"/>
        <w:autoSpaceDE w:val="0"/>
        <w:autoSpaceDN w:val="0"/>
        <w:adjustRightInd w:val="0"/>
        <w:jc w:val="both"/>
        <w:rPr>
          <w:spacing w:val="-2"/>
          <w:sz w:val="20"/>
          <w:szCs w:val="20"/>
        </w:rPr>
      </w:pPr>
    </w:p>
    <w:p w:rsidR="00574225" w:rsidRDefault="00574225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</w:p>
    <w:p w:rsidR="00220BEC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 w:rsidRPr="005B0875">
        <w:rPr>
          <w:b/>
          <w:bCs/>
          <w:sz w:val="20"/>
          <w:szCs w:val="20"/>
        </w:rPr>
        <w:t>VALITUSOSOITUS</w:t>
      </w:r>
      <w:r w:rsidR="0026456B" w:rsidRPr="005B0875">
        <w:rPr>
          <w:b/>
          <w:bCs/>
          <w:sz w:val="20"/>
          <w:szCs w:val="20"/>
        </w:rPr>
        <w:t xml:space="preserve"> </w:t>
      </w:r>
    </w:p>
    <w:p w:rsidR="00475B4D" w:rsidRDefault="00475B4D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</w:p>
    <w:p w:rsidR="00475B4D" w:rsidRPr="005B0875" w:rsidRDefault="00475B4D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Valitusviranomainen  xxxxxx hallinto-oikeus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 w:rsidRPr="005B0875">
        <w:rPr>
          <w:b/>
          <w:bCs/>
          <w:sz w:val="20"/>
          <w:szCs w:val="20"/>
        </w:rPr>
        <w:t>Valitusoikeus ja valitusperuste</w:t>
      </w:r>
    </w:p>
    <w:p w:rsidR="00220BEC" w:rsidRPr="005B0875" w:rsidRDefault="00220BEC" w:rsidP="00220BEC">
      <w:pPr>
        <w:tabs>
          <w:tab w:val="left" w:pos="-1296"/>
          <w:tab w:val="left" w:pos="0"/>
          <w:tab w:val="left" w:pos="594"/>
          <w:tab w:val="left" w:pos="1298"/>
          <w:tab w:val="left" w:pos="2592"/>
          <w:tab w:val="left" w:pos="3240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jc w:val="both"/>
        <w:rPr>
          <w:spacing w:val="-2"/>
          <w:sz w:val="20"/>
          <w:szCs w:val="20"/>
        </w:rPr>
      </w:pPr>
    </w:p>
    <w:p w:rsidR="00220BEC" w:rsidRDefault="00574225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Vaikutuksiltaan vähäisenä pidettävä</w:t>
      </w:r>
      <w:r w:rsidR="00475B4D">
        <w:rPr>
          <w:sz w:val="20"/>
          <w:szCs w:val="20"/>
        </w:rPr>
        <w:t>stä asemakaavan muutoksesta v</w:t>
      </w:r>
      <w:r>
        <w:rPr>
          <w:sz w:val="20"/>
          <w:szCs w:val="20"/>
        </w:rPr>
        <w:t>alituksen voi</w:t>
      </w:r>
      <w:r w:rsidR="0042488E">
        <w:rPr>
          <w:sz w:val="20"/>
          <w:szCs w:val="20"/>
        </w:rPr>
        <w:t xml:space="preserve"> </w:t>
      </w:r>
      <w:r w:rsidR="00953993">
        <w:rPr>
          <w:sz w:val="20"/>
          <w:szCs w:val="20"/>
        </w:rPr>
        <w:t xml:space="preserve">tehdä </w:t>
      </w:r>
      <w:r w:rsidR="0042488E">
        <w:rPr>
          <w:sz w:val="20"/>
          <w:szCs w:val="20"/>
        </w:rPr>
        <w:t>ne</w:t>
      </w:r>
      <w:r w:rsidR="00D81EE7">
        <w:rPr>
          <w:sz w:val="20"/>
          <w:szCs w:val="20"/>
        </w:rPr>
        <w:t>, joiden</w:t>
      </w:r>
      <w:r w:rsidR="00220BEC" w:rsidRPr="005B0875">
        <w:rPr>
          <w:sz w:val="20"/>
          <w:szCs w:val="20"/>
        </w:rPr>
        <w:t xml:space="preserve"> oikeuteen, velvollisuuteen tai etuun päätös välittömästi vaikuttaa. </w:t>
      </w:r>
      <w:r>
        <w:rPr>
          <w:sz w:val="20"/>
          <w:szCs w:val="20"/>
        </w:rPr>
        <w:t>Alueellisella</w:t>
      </w:r>
      <w:r w:rsidR="00220BEC" w:rsidRPr="005B0875">
        <w:rPr>
          <w:sz w:val="20"/>
          <w:szCs w:val="20"/>
        </w:rPr>
        <w:t xml:space="preserve"> ympäri</w:t>
      </w:r>
      <w:r w:rsidR="00220BEC" w:rsidRPr="005B0875">
        <w:rPr>
          <w:sz w:val="20"/>
          <w:szCs w:val="20"/>
        </w:rPr>
        <w:t>s</w:t>
      </w:r>
      <w:r w:rsidR="00220BEC" w:rsidRPr="005B0875">
        <w:rPr>
          <w:sz w:val="20"/>
          <w:szCs w:val="20"/>
        </w:rPr>
        <w:t>tökeskuksella ja muulla viranomaisella on toimialaansa kuuluvissa asioissa valitusoikeus.</w:t>
      </w:r>
      <w:r w:rsidR="009568E1" w:rsidRPr="005B0875">
        <w:rPr>
          <w:sz w:val="20"/>
          <w:szCs w:val="20"/>
        </w:rPr>
        <w:t xml:space="preserve"> </w:t>
      </w:r>
      <w:r w:rsidR="009568E1" w:rsidRPr="00920BD4">
        <w:rPr>
          <w:sz w:val="20"/>
          <w:szCs w:val="20"/>
        </w:rPr>
        <w:t>Val</w:t>
      </w:r>
      <w:r w:rsidR="009568E1" w:rsidRPr="00920BD4">
        <w:rPr>
          <w:sz w:val="20"/>
          <w:szCs w:val="20"/>
        </w:rPr>
        <w:t>i</w:t>
      </w:r>
      <w:r w:rsidR="009568E1" w:rsidRPr="00920BD4">
        <w:rPr>
          <w:sz w:val="20"/>
          <w:szCs w:val="20"/>
        </w:rPr>
        <w:t>tusoikeus on myös maakunnan liitolla ja kunnalla, joiden alueella kaavassa osoitetulla maa</w:t>
      </w:r>
      <w:r w:rsidR="009568E1" w:rsidRPr="00920BD4">
        <w:rPr>
          <w:sz w:val="20"/>
          <w:szCs w:val="20"/>
        </w:rPr>
        <w:t>n</w:t>
      </w:r>
      <w:r w:rsidR="009568E1" w:rsidRPr="00920BD4">
        <w:rPr>
          <w:sz w:val="20"/>
          <w:szCs w:val="20"/>
        </w:rPr>
        <w:t>käytöllä on vaikutuksia.</w:t>
      </w:r>
      <w:r w:rsidR="00220BEC" w:rsidRPr="00920BD4">
        <w:rPr>
          <w:sz w:val="20"/>
          <w:szCs w:val="20"/>
        </w:rPr>
        <w:t xml:space="preserve"> </w:t>
      </w:r>
      <w:r w:rsidR="00220BEC" w:rsidRPr="005B0875">
        <w:rPr>
          <w:sz w:val="20"/>
          <w:szCs w:val="20"/>
        </w:rPr>
        <w:t>Rekisteröidyllä paikallisella tai alueellisella yhteisöllä toimialaansa ku</w:t>
      </w:r>
      <w:r w:rsidR="00220BEC" w:rsidRPr="005B0875">
        <w:rPr>
          <w:sz w:val="20"/>
          <w:szCs w:val="20"/>
        </w:rPr>
        <w:t>u</w:t>
      </w:r>
      <w:r w:rsidR="00220BEC" w:rsidRPr="005B0875">
        <w:rPr>
          <w:sz w:val="20"/>
          <w:szCs w:val="20"/>
        </w:rPr>
        <w:t xml:space="preserve">luvissa asioissa toimialueellaan on myös valitusoikeus. Valituksen saa tehdä sillä perusteella, että päätös on syntynyt virheellisessä järjestyksessä, </w:t>
      </w:r>
      <w:r w:rsidR="00953993">
        <w:rPr>
          <w:sz w:val="20"/>
          <w:szCs w:val="20"/>
        </w:rPr>
        <w:t>toimielin</w:t>
      </w:r>
      <w:r w:rsidR="00220BEC" w:rsidRPr="005B0875">
        <w:rPr>
          <w:sz w:val="20"/>
          <w:szCs w:val="20"/>
        </w:rPr>
        <w:t xml:space="preserve"> on ylittänyt toimivaltansa tai päätös on muuten lainvastainen.</w:t>
      </w:r>
    </w:p>
    <w:p w:rsidR="00220BEC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2587A" w:rsidRDefault="0012587A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Pelkästään kunnan jäsenyyden perusteella valitusoikeutta ei ole silloin, kun kyse on vaikutu</w:t>
      </w:r>
      <w:r>
        <w:rPr>
          <w:sz w:val="20"/>
          <w:szCs w:val="20"/>
        </w:rPr>
        <w:t>k</w:t>
      </w:r>
      <w:r>
        <w:rPr>
          <w:sz w:val="20"/>
          <w:szCs w:val="20"/>
        </w:rPr>
        <w:t>siltaan vähäisenä pidettävästä asemakaavan muutoksesta.</w:t>
      </w:r>
    </w:p>
    <w:p w:rsidR="0012587A" w:rsidRDefault="0012587A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2587A" w:rsidRPr="005B0875" w:rsidRDefault="0012587A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 w:rsidRPr="005B0875">
        <w:rPr>
          <w:b/>
          <w:bCs/>
          <w:sz w:val="20"/>
          <w:szCs w:val="20"/>
        </w:rPr>
        <w:t>Valitusaika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pacing w:val="-2"/>
          <w:sz w:val="20"/>
          <w:szCs w:val="20"/>
        </w:rPr>
      </w:pPr>
      <w:r w:rsidRPr="005B0875">
        <w:rPr>
          <w:spacing w:val="-2"/>
          <w:sz w:val="20"/>
          <w:szCs w:val="20"/>
        </w:rPr>
        <w:t>Valitus on tehtävä 30 päivän kuluessa päätöksen tiedoksisaamisesta. Kaavan hyväksymistä ko</w:t>
      </w:r>
      <w:r w:rsidRPr="005B0875">
        <w:rPr>
          <w:spacing w:val="-2"/>
          <w:sz w:val="20"/>
          <w:szCs w:val="20"/>
        </w:rPr>
        <w:t>s</w:t>
      </w:r>
      <w:r w:rsidRPr="005B0875">
        <w:rPr>
          <w:spacing w:val="-2"/>
          <w:sz w:val="20"/>
          <w:szCs w:val="20"/>
        </w:rPr>
        <w:t xml:space="preserve">kevan päätöksen katsotaan tulleen </w:t>
      </w:r>
      <w:r w:rsidR="00D81EE7">
        <w:rPr>
          <w:spacing w:val="-2"/>
          <w:sz w:val="20"/>
          <w:szCs w:val="20"/>
        </w:rPr>
        <w:t xml:space="preserve">kaikkien valitukseen oikeutettujen </w:t>
      </w:r>
      <w:r w:rsidRPr="005B0875">
        <w:rPr>
          <w:spacing w:val="-2"/>
          <w:sz w:val="20"/>
          <w:szCs w:val="20"/>
        </w:rPr>
        <w:t>tietoon silloin, kun pöyt</w:t>
      </w:r>
      <w:r w:rsidRPr="005B0875">
        <w:rPr>
          <w:spacing w:val="-2"/>
          <w:sz w:val="20"/>
          <w:szCs w:val="20"/>
        </w:rPr>
        <w:t>ä</w:t>
      </w:r>
      <w:r w:rsidRPr="005B0875">
        <w:rPr>
          <w:spacing w:val="-2"/>
          <w:sz w:val="20"/>
          <w:szCs w:val="20"/>
        </w:rPr>
        <w:t>kirja on asetettu yleisesti nähtäväksi.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 w:rsidRPr="005B0875">
        <w:rPr>
          <w:b/>
          <w:bCs/>
          <w:sz w:val="20"/>
          <w:szCs w:val="20"/>
        </w:rPr>
        <w:t>Valituskirjelmän sisältö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 xml:space="preserve">Kunnallisvalitus tehdään kirjallisesti. Valituskirjelmässä, joka on osoitettava </w:t>
      </w:r>
      <w:r w:rsidR="0042488E">
        <w:rPr>
          <w:sz w:val="20"/>
          <w:szCs w:val="20"/>
        </w:rPr>
        <w:t>h</w:t>
      </w:r>
      <w:r w:rsidRPr="005B0875">
        <w:rPr>
          <w:sz w:val="20"/>
          <w:szCs w:val="20"/>
        </w:rPr>
        <w:t>allinto-oikeudelle, on ilmoitettava: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>1)</w:t>
      </w:r>
      <w:r w:rsidRPr="005B0875">
        <w:rPr>
          <w:sz w:val="20"/>
          <w:szCs w:val="20"/>
        </w:rPr>
        <w:tab/>
        <w:t>päätös, johon haetaan muutosta,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>2)</w:t>
      </w:r>
      <w:r w:rsidRPr="005B0875">
        <w:rPr>
          <w:sz w:val="20"/>
          <w:szCs w:val="20"/>
        </w:rPr>
        <w:tab/>
        <w:t>miltä kohdin päätökseen haetaan muutosta ja mitä muutoksia siihen vaaditaan teht</w:t>
      </w:r>
      <w:r w:rsidRPr="005B0875">
        <w:rPr>
          <w:sz w:val="20"/>
          <w:szCs w:val="20"/>
        </w:rPr>
        <w:t>ä</w:t>
      </w:r>
      <w:r w:rsidRPr="005B0875">
        <w:rPr>
          <w:sz w:val="20"/>
          <w:szCs w:val="20"/>
        </w:rPr>
        <w:t>väksi, sekä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>3)</w:t>
      </w:r>
      <w:r w:rsidRPr="005B0875">
        <w:rPr>
          <w:sz w:val="20"/>
          <w:szCs w:val="20"/>
        </w:rPr>
        <w:tab/>
        <w:t>perusteet, joilla muutosta vaaditaan.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>Valituskirjelmässä on ilmoitettava valittajan nimi ja kotikunta. Jos valittajan puhevaltaa käy</w:t>
      </w:r>
      <w:r w:rsidRPr="005B0875">
        <w:rPr>
          <w:sz w:val="20"/>
          <w:szCs w:val="20"/>
        </w:rPr>
        <w:t>t</w:t>
      </w:r>
      <w:r w:rsidRPr="005B0875">
        <w:rPr>
          <w:sz w:val="20"/>
          <w:szCs w:val="20"/>
        </w:rPr>
        <w:t>tää hänen laillinen edustajansa tai asiamiehensä, tai jos valituksen laatijana on joku muu he</w:t>
      </w:r>
      <w:r w:rsidRPr="005B0875">
        <w:rPr>
          <w:sz w:val="20"/>
          <w:szCs w:val="20"/>
        </w:rPr>
        <w:t>n</w:t>
      </w:r>
      <w:r w:rsidRPr="005B0875">
        <w:rPr>
          <w:sz w:val="20"/>
          <w:szCs w:val="20"/>
        </w:rPr>
        <w:t>kilö, valituskirjelmässä on ilmoitettava myös tämän nimi ja kotikunta.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>Valituskirjelmässä on lisäksi ilmoitettava postiosoite ja puhelinnumero, joihin asiaa koskevat ilmoitukset valittajalle voidaan toimittaa.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B0875">
        <w:rPr>
          <w:sz w:val="20"/>
          <w:szCs w:val="20"/>
        </w:rPr>
        <w:t>Valittajan, laillisen edustajan tai asiamiehen on allekirjoitettava valituskirjelmä.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 w:rsidRPr="005B0875">
        <w:rPr>
          <w:b/>
          <w:bCs/>
          <w:sz w:val="20"/>
          <w:szCs w:val="20"/>
        </w:rPr>
        <w:t>Valituskirjelmän liitteet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pacing w:val="-2"/>
          <w:sz w:val="20"/>
          <w:szCs w:val="20"/>
        </w:rPr>
      </w:pPr>
      <w:r w:rsidRPr="005B0875">
        <w:rPr>
          <w:spacing w:val="-2"/>
          <w:sz w:val="20"/>
          <w:szCs w:val="20"/>
        </w:rPr>
        <w:t>Valituskirjelmään on liitettävä: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pacing w:val="-2"/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pacing w:val="-2"/>
          <w:sz w:val="20"/>
          <w:szCs w:val="20"/>
        </w:rPr>
      </w:pPr>
      <w:r w:rsidRPr="005B0875">
        <w:rPr>
          <w:spacing w:val="-2"/>
          <w:sz w:val="20"/>
          <w:szCs w:val="20"/>
        </w:rPr>
        <w:t>1)</w:t>
      </w:r>
      <w:r w:rsidRPr="005B0875">
        <w:rPr>
          <w:spacing w:val="-2"/>
          <w:sz w:val="20"/>
          <w:szCs w:val="20"/>
        </w:rPr>
        <w:tab/>
        <w:t>päätös, johon haetaan muutosta valittamalla, alkuperäisenä tai jäljennöksenä,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pacing w:val="-2"/>
          <w:sz w:val="20"/>
          <w:szCs w:val="20"/>
        </w:rPr>
      </w:pPr>
      <w:r w:rsidRPr="005B0875">
        <w:rPr>
          <w:spacing w:val="-2"/>
          <w:sz w:val="20"/>
          <w:szCs w:val="20"/>
        </w:rPr>
        <w:t>2)</w:t>
      </w:r>
      <w:r w:rsidRPr="005B0875">
        <w:rPr>
          <w:spacing w:val="-2"/>
          <w:sz w:val="20"/>
          <w:szCs w:val="20"/>
        </w:rPr>
        <w:tab/>
      </w:r>
      <w:r w:rsidR="008C304C">
        <w:rPr>
          <w:spacing w:val="-2"/>
          <w:sz w:val="20"/>
          <w:szCs w:val="20"/>
        </w:rPr>
        <w:t>selvitys pöytäkirjan nähtävillepanopäivästä, ellei asia muutoin ilmene asiakirjoista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pacing w:val="-2"/>
          <w:sz w:val="20"/>
          <w:szCs w:val="20"/>
        </w:rPr>
      </w:pPr>
      <w:r w:rsidRPr="005B0875">
        <w:rPr>
          <w:spacing w:val="-2"/>
          <w:sz w:val="20"/>
          <w:szCs w:val="20"/>
        </w:rPr>
        <w:lastRenderedPageBreak/>
        <w:t>3)</w:t>
      </w:r>
      <w:r w:rsidRPr="005B0875">
        <w:rPr>
          <w:spacing w:val="-2"/>
          <w:sz w:val="20"/>
          <w:szCs w:val="20"/>
        </w:rPr>
        <w:tab/>
        <w:t>asiakirjat, joihin valittaja vetoaa vaatimuksensa tueksi, jollei niitä ole jo aikaisemmin to</w:t>
      </w:r>
      <w:r w:rsidRPr="005B0875">
        <w:rPr>
          <w:spacing w:val="-2"/>
          <w:sz w:val="20"/>
          <w:szCs w:val="20"/>
        </w:rPr>
        <w:t>i</w:t>
      </w:r>
      <w:r w:rsidRPr="005B0875">
        <w:rPr>
          <w:spacing w:val="-2"/>
          <w:sz w:val="20"/>
          <w:szCs w:val="20"/>
        </w:rPr>
        <w:t>mitettu viranomaiselle.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pacing w:val="-2"/>
          <w:sz w:val="20"/>
          <w:szCs w:val="20"/>
        </w:rPr>
      </w:pPr>
      <w:r w:rsidRPr="005B0875">
        <w:rPr>
          <w:spacing w:val="-2"/>
          <w:sz w:val="20"/>
          <w:szCs w:val="20"/>
        </w:rPr>
        <w:t>Asiamiehen on liitettävä valituskirjelmään valtakirja.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ind w:left="2591" w:hanging="2591"/>
        <w:jc w:val="both"/>
        <w:rPr>
          <w:b/>
          <w:bCs/>
          <w:sz w:val="20"/>
          <w:szCs w:val="20"/>
        </w:rPr>
      </w:pPr>
      <w:r w:rsidRPr="005B0875">
        <w:rPr>
          <w:b/>
          <w:bCs/>
          <w:sz w:val="20"/>
          <w:szCs w:val="20"/>
        </w:rPr>
        <w:t>Valituksen perille toimittaminen</w:t>
      </w:r>
    </w:p>
    <w:p w:rsidR="00220BEC" w:rsidRPr="005B0875" w:rsidRDefault="00220BEC" w:rsidP="00220BEC">
      <w:pPr>
        <w:tabs>
          <w:tab w:val="left" w:pos="2591"/>
          <w:tab w:val="left" w:pos="3969"/>
          <w:tab w:val="left" w:pos="5103"/>
          <w:tab w:val="left" w:pos="6521"/>
          <w:tab w:val="left" w:pos="7655"/>
          <w:tab w:val="right" w:pos="963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304C" w:rsidRDefault="00220BEC" w:rsidP="00E10F45">
      <w:pPr>
        <w:rPr>
          <w:sz w:val="20"/>
          <w:szCs w:val="20"/>
        </w:rPr>
      </w:pPr>
      <w:r w:rsidRPr="005B0875">
        <w:rPr>
          <w:spacing w:val="-2"/>
          <w:sz w:val="20"/>
          <w:szCs w:val="20"/>
        </w:rPr>
        <w:t>Valituskirjelmä on toimitettava valitusajan kuluessa</w:t>
      </w:r>
      <w:r w:rsidR="00623CC2">
        <w:rPr>
          <w:spacing w:val="-2"/>
          <w:sz w:val="20"/>
          <w:szCs w:val="20"/>
        </w:rPr>
        <w:t xml:space="preserve"> </w:t>
      </w:r>
      <w:r w:rsidR="00BA6CEC">
        <w:rPr>
          <w:spacing w:val="-2"/>
          <w:sz w:val="20"/>
          <w:szCs w:val="20"/>
        </w:rPr>
        <w:t>XXXXXXXX</w:t>
      </w:r>
      <w:r w:rsidR="00623CC2">
        <w:rPr>
          <w:spacing w:val="-2"/>
          <w:sz w:val="20"/>
          <w:szCs w:val="20"/>
        </w:rPr>
        <w:t xml:space="preserve">XX:n </w:t>
      </w:r>
      <w:r w:rsidRPr="005B0875">
        <w:rPr>
          <w:spacing w:val="-2"/>
          <w:sz w:val="20"/>
          <w:szCs w:val="20"/>
        </w:rPr>
        <w:t>hallinto-oikeuden kirja</w:t>
      </w:r>
      <w:r w:rsidRPr="005B0875">
        <w:rPr>
          <w:spacing w:val="-2"/>
          <w:sz w:val="20"/>
          <w:szCs w:val="20"/>
        </w:rPr>
        <w:t>a</w:t>
      </w:r>
      <w:r w:rsidRPr="005B0875">
        <w:rPr>
          <w:spacing w:val="-2"/>
          <w:sz w:val="20"/>
          <w:szCs w:val="20"/>
        </w:rPr>
        <w:t xml:space="preserve">moon, osoitteeseen </w:t>
      </w:r>
      <w:r w:rsidR="00BA6CEC">
        <w:rPr>
          <w:spacing w:val="-2"/>
          <w:sz w:val="20"/>
          <w:szCs w:val="20"/>
        </w:rPr>
        <w:t>xxxxxxxxxxxxxxxxxxxxxxxxxxxxxxxxxxxxx</w:t>
      </w:r>
      <w:r w:rsidR="008C304C">
        <w:rPr>
          <w:spacing w:val="-2"/>
          <w:sz w:val="20"/>
          <w:szCs w:val="20"/>
        </w:rPr>
        <w:t>. Valitus voidaan toimittaa halli</w:t>
      </w:r>
      <w:r w:rsidR="008C304C">
        <w:rPr>
          <w:spacing w:val="-2"/>
          <w:sz w:val="20"/>
          <w:szCs w:val="20"/>
        </w:rPr>
        <w:t>n</w:t>
      </w:r>
      <w:r w:rsidR="008C304C">
        <w:rPr>
          <w:spacing w:val="-2"/>
          <w:sz w:val="20"/>
          <w:szCs w:val="20"/>
        </w:rPr>
        <w:t xml:space="preserve">to-oikeuteen myös </w:t>
      </w:r>
      <w:r w:rsidR="008C304C" w:rsidRPr="008C304C">
        <w:rPr>
          <w:sz w:val="20"/>
          <w:szCs w:val="20"/>
        </w:rPr>
        <w:t>telekopiona</w:t>
      </w:r>
      <w:r w:rsidR="008C304C">
        <w:rPr>
          <w:sz w:val="20"/>
          <w:szCs w:val="20"/>
        </w:rPr>
        <w:t xml:space="preserve"> </w:t>
      </w:r>
      <w:r w:rsidR="00B87311">
        <w:rPr>
          <w:sz w:val="20"/>
          <w:szCs w:val="20"/>
        </w:rPr>
        <w:t xml:space="preserve">fax :xxxxxx </w:t>
      </w:r>
      <w:r w:rsidR="008C304C" w:rsidRPr="008C304C">
        <w:rPr>
          <w:sz w:val="20"/>
          <w:szCs w:val="20"/>
        </w:rPr>
        <w:t>tai sähköpostina</w:t>
      </w:r>
      <w:r w:rsidR="008C304C">
        <w:rPr>
          <w:sz w:val="20"/>
          <w:szCs w:val="20"/>
        </w:rPr>
        <w:t xml:space="preserve"> xxxx oso</w:t>
      </w:r>
      <w:r w:rsidR="00B87311">
        <w:rPr>
          <w:sz w:val="20"/>
          <w:szCs w:val="20"/>
        </w:rPr>
        <w:t>i</w:t>
      </w:r>
      <w:r w:rsidR="008C304C">
        <w:rPr>
          <w:sz w:val="20"/>
          <w:szCs w:val="20"/>
        </w:rPr>
        <w:t>te</w:t>
      </w:r>
      <w:r w:rsidR="00B87311">
        <w:rPr>
          <w:sz w:val="20"/>
          <w:szCs w:val="20"/>
        </w:rPr>
        <w:t xml:space="preserve"> xxxxx. </w:t>
      </w:r>
    </w:p>
    <w:p w:rsidR="00015DD7" w:rsidRDefault="00015DD7" w:rsidP="00E10F45">
      <w:pPr>
        <w:rPr>
          <w:spacing w:val="-2"/>
          <w:sz w:val="20"/>
          <w:szCs w:val="20"/>
        </w:rPr>
      </w:pPr>
    </w:p>
    <w:p w:rsidR="00DC73BB" w:rsidRDefault="00DC73BB" w:rsidP="00E10F45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Valittajan maksettavaksi voidaan määrätä oikeudenkäyntimaksu. joka määräytyy</w:t>
      </w:r>
      <w:r w:rsidR="009B3E3B">
        <w:rPr>
          <w:spacing w:val="-2"/>
          <w:sz w:val="20"/>
          <w:szCs w:val="20"/>
        </w:rPr>
        <w:t xml:space="preserve"> </w:t>
      </w:r>
      <w:hyperlink r:id="rId7" w:history="1">
        <w:r w:rsidR="009B3E3B" w:rsidRPr="009B3E3B">
          <w:rPr>
            <w:rStyle w:val="Hyperlinkki"/>
            <w:color w:val="auto"/>
            <w:spacing w:val="-2"/>
            <w:sz w:val="20"/>
            <w:szCs w:val="20"/>
            <w:u w:val="none"/>
          </w:rPr>
          <w:t>tuomioistui</w:t>
        </w:r>
        <w:r w:rsidR="009B3E3B" w:rsidRPr="009B3E3B">
          <w:rPr>
            <w:rStyle w:val="Hyperlinkki"/>
            <w:color w:val="auto"/>
            <w:spacing w:val="-2"/>
            <w:sz w:val="20"/>
            <w:szCs w:val="20"/>
            <w:u w:val="none"/>
          </w:rPr>
          <w:t>n</w:t>
        </w:r>
        <w:r w:rsidR="009B3E3B" w:rsidRPr="009B3E3B">
          <w:rPr>
            <w:rStyle w:val="Hyperlinkki"/>
            <w:color w:val="auto"/>
            <w:spacing w:val="-2"/>
            <w:sz w:val="20"/>
            <w:szCs w:val="20"/>
            <w:u w:val="none"/>
          </w:rPr>
          <w:t>ten ja eräiden oikeushallintoviranomaisten suoritteista perittävistä maksuista</w:t>
        </w:r>
        <w:r w:rsidR="009B3E3B">
          <w:rPr>
            <w:rStyle w:val="Hyperlinkki"/>
            <w:color w:val="auto"/>
            <w:spacing w:val="-2"/>
            <w:sz w:val="20"/>
            <w:szCs w:val="20"/>
            <w:u w:val="none"/>
          </w:rPr>
          <w:t xml:space="preserve"> annetun lain m</w:t>
        </w:r>
        <w:r w:rsidR="009B3E3B">
          <w:rPr>
            <w:rStyle w:val="Hyperlinkki"/>
            <w:color w:val="auto"/>
            <w:spacing w:val="-2"/>
            <w:sz w:val="20"/>
            <w:szCs w:val="20"/>
            <w:u w:val="none"/>
          </w:rPr>
          <w:t>u</w:t>
        </w:r>
        <w:r w:rsidR="009B3E3B">
          <w:rPr>
            <w:rStyle w:val="Hyperlinkki"/>
            <w:color w:val="auto"/>
            <w:spacing w:val="-2"/>
            <w:sz w:val="20"/>
            <w:szCs w:val="20"/>
            <w:u w:val="none"/>
          </w:rPr>
          <w:t>kaan. Oikeudenkäyntimaksu hallinto-oikeudessa on tällä hetkellä 82 €.</w:t>
        </w:r>
      </w:hyperlink>
    </w:p>
    <w:p w:rsidR="00623CC2" w:rsidRDefault="00623CC2" w:rsidP="00E10F45">
      <w:pPr>
        <w:rPr>
          <w:spacing w:val="-2"/>
          <w:sz w:val="20"/>
          <w:szCs w:val="20"/>
        </w:rPr>
      </w:pPr>
    </w:p>
    <w:p w:rsidR="00623CC2" w:rsidRPr="005B0875" w:rsidRDefault="00623CC2" w:rsidP="00E10F45">
      <w:pPr>
        <w:rPr>
          <w:sz w:val="20"/>
          <w:szCs w:val="20"/>
        </w:rPr>
      </w:pPr>
    </w:p>
    <w:sectPr w:rsidR="00623CC2" w:rsidRPr="005B0875" w:rsidSect="00BE68F7">
      <w:headerReference w:type="default" r:id="rId8"/>
      <w:headerReference w:type="first" r:id="rId9"/>
      <w:pgSz w:w="11906" w:h="16838" w:code="9"/>
      <w:pgMar w:top="1418" w:right="1134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8F" w:rsidRDefault="00F77F8F" w:rsidP="00E10F45">
      <w:r>
        <w:separator/>
      </w:r>
    </w:p>
  </w:endnote>
  <w:endnote w:type="continuationSeparator" w:id="0">
    <w:p w:rsidR="00F77F8F" w:rsidRDefault="00F77F8F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8F" w:rsidRDefault="00F77F8F" w:rsidP="00E10F45">
      <w:r>
        <w:separator/>
      </w:r>
    </w:p>
  </w:footnote>
  <w:footnote w:type="continuationSeparator" w:id="0">
    <w:p w:rsidR="00F77F8F" w:rsidRDefault="00F77F8F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5E" w:rsidRDefault="003B085E" w:rsidP="00862E8D">
    <w:pPr>
      <w:pStyle w:val="Yl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36A53">
      <w:rPr>
        <w:rStyle w:val="Sivunumero"/>
        <w:noProof/>
      </w:rPr>
      <w:t>2</w:t>
    </w:r>
    <w:r>
      <w:rPr>
        <w:rStyle w:val="Sivunumero"/>
      </w:rPr>
      <w:fldChar w:fldCharType="end"/>
    </w:r>
  </w:p>
  <w:p w:rsidR="003B085E" w:rsidRDefault="003B085E" w:rsidP="00BF16B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5E" w:rsidRPr="00BF16B6" w:rsidRDefault="003B085E" w:rsidP="00BE68F7">
    <w:pPr>
      <w:pStyle w:val="Yltunniste"/>
      <w:tabs>
        <w:tab w:val="clear" w:pos="4819"/>
        <w:tab w:val="clear" w:pos="9638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 w:rsidRPr="00BF16B6">
      <w:rPr>
        <w:sz w:val="22"/>
        <w:szCs w:val="22"/>
      </w:rPr>
      <w:t>LIITE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C"/>
    <w:rsid w:val="00015DD7"/>
    <w:rsid w:val="00035CAC"/>
    <w:rsid w:val="00061F18"/>
    <w:rsid w:val="00070F25"/>
    <w:rsid w:val="00076F7F"/>
    <w:rsid w:val="000D5200"/>
    <w:rsid w:val="001011FF"/>
    <w:rsid w:val="0012587A"/>
    <w:rsid w:val="00151795"/>
    <w:rsid w:val="001701B7"/>
    <w:rsid w:val="00220BEC"/>
    <w:rsid w:val="0026456B"/>
    <w:rsid w:val="00270F71"/>
    <w:rsid w:val="00275A6C"/>
    <w:rsid w:val="00346859"/>
    <w:rsid w:val="003B085E"/>
    <w:rsid w:val="003B5600"/>
    <w:rsid w:val="003C3026"/>
    <w:rsid w:val="0040337A"/>
    <w:rsid w:val="00422DFF"/>
    <w:rsid w:val="0042488E"/>
    <w:rsid w:val="00475B4D"/>
    <w:rsid w:val="00492FD6"/>
    <w:rsid w:val="004E55B2"/>
    <w:rsid w:val="00574225"/>
    <w:rsid w:val="005923AC"/>
    <w:rsid w:val="005B0875"/>
    <w:rsid w:val="005C29B4"/>
    <w:rsid w:val="005E25D8"/>
    <w:rsid w:val="005E4EEB"/>
    <w:rsid w:val="006066A5"/>
    <w:rsid w:val="00623CC2"/>
    <w:rsid w:val="006501F9"/>
    <w:rsid w:val="006840F7"/>
    <w:rsid w:val="006C49E8"/>
    <w:rsid w:val="00703028"/>
    <w:rsid w:val="00787FA9"/>
    <w:rsid w:val="007C092A"/>
    <w:rsid w:val="007C20E4"/>
    <w:rsid w:val="00862E8D"/>
    <w:rsid w:val="00885EC9"/>
    <w:rsid w:val="008C304C"/>
    <w:rsid w:val="00905062"/>
    <w:rsid w:val="00920BD4"/>
    <w:rsid w:val="009227CE"/>
    <w:rsid w:val="00926BF0"/>
    <w:rsid w:val="00953993"/>
    <w:rsid w:val="009568E1"/>
    <w:rsid w:val="0099348B"/>
    <w:rsid w:val="009B38D4"/>
    <w:rsid w:val="009B3E3B"/>
    <w:rsid w:val="00A012B8"/>
    <w:rsid w:val="00A26D71"/>
    <w:rsid w:val="00AA38D7"/>
    <w:rsid w:val="00B35AAE"/>
    <w:rsid w:val="00B50BC7"/>
    <w:rsid w:val="00B6227E"/>
    <w:rsid w:val="00B87311"/>
    <w:rsid w:val="00BA6CEC"/>
    <w:rsid w:val="00BE5F9D"/>
    <w:rsid w:val="00BE68F7"/>
    <w:rsid w:val="00BF16B6"/>
    <w:rsid w:val="00C23ECB"/>
    <w:rsid w:val="00C43E35"/>
    <w:rsid w:val="00C72FFE"/>
    <w:rsid w:val="00C9268C"/>
    <w:rsid w:val="00CA0E83"/>
    <w:rsid w:val="00D36A53"/>
    <w:rsid w:val="00D61C98"/>
    <w:rsid w:val="00D81EE7"/>
    <w:rsid w:val="00D839A9"/>
    <w:rsid w:val="00DA44C5"/>
    <w:rsid w:val="00DA566E"/>
    <w:rsid w:val="00DC73BB"/>
    <w:rsid w:val="00DF5684"/>
    <w:rsid w:val="00DF5EA3"/>
    <w:rsid w:val="00E071F9"/>
    <w:rsid w:val="00E10F45"/>
    <w:rsid w:val="00E504E7"/>
    <w:rsid w:val="00EC03EA"/>
    <w:rsid w:val="00F34371"/>
    <w:rsid w:val="00F40828"/>
    <w:rsid w:val="00F53194"/>
    <w:rsid w:val="00F67EE0"/>
    <w:rsid w:val="00F77F8F"/>
    <w:rsid w:val="00FD1FB8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20BEC"/>
    <w:p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5923AC"/>
    <w:pPr>
      <w:keepNext/>
      <w:spacing w:after="24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5E25D8"/>
    <w:pPr>
      <w:keepNext/>
      <w:spacing w:after="2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E504E7"/>
    <w:pPr>
      <w:spacing w:after="240"/>
      <w:ind w:left="1298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  <w:style w:type="character" w:styleId="Hyperlinkki">
    <w:name w:val="Hyperlink"/>
    <w:basedOn w:val="Kappaleenoletusfontti"/>
    <w:uiPriority w:val="99"/>
    <w:rsid w:val="009B3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20BEC"/>
    <w:p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5923AC"/>
    <w:pPr>
      <w:keepNext/>
      <w:spacing w:after="24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5E25D8"/>
    <w:pPr>
      <w:keepNext/>
      <w:spacing w:after="2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E504E7"/>
    <w:pPr>
      <w:spacing w:after="240"/>
      <w:ind w:left="1298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  <w:style w:type="character" w:styleId="Hyperlinkki">
    <w:name w:val="Hyperlink"/>
    <w:basedOn w:val="Kappaleenoletusfontti"/>
    <w:uiPriority w:val="99"/>
    <w:rsid w:val="009B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top.menu.setTOCurlprefix('/indox/indoxservlet?documentrole=sltltoc&amp;');%20javascript:top.menu.setHitQueryAndNaviXML('/indox/indoxservlet?documentrole=tochaku&amp;index=SLAKIEU&amp;library=/SLAKI&amp;ftquery=','(oikeudenk%E4yntimaksu)%20AND%20docid:%22/SLAKI/Pr/Pr309.xml%22','/SLAKI/Pr/Pr309.xml','false&amp;openfirsthit=true&amp;part=SLAKI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</vt:lpstr>
    </vt:vector>
  </TitlesOfParts>
  <Company>Kuntaliitto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PusaEe</dc:creator>
  <cp:lastModifiedBy>Suhonen Victor</cp:lastModifiedBy>
  <cp:revision>2</cp:revision>
  <dcterms:created xsi:type="dcterms:W3CDTF">2017-02-07T13:54:00Z</dcterms:created>
  <dcterms:modified xsi:type="dcterms:W3CDTF">2017-02-07T13:54:00Z</dcterms:modified>
</cp:coreProperties>
</file>