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A10E" w14:textId="19EB17A3" w:rsidR="00F45784" w:rsidRPr="0021049A" w:rsidRDefault="003A1499" w:rsidP="00B3631E">
      <w:pPr>
        <w:spacing w:before="89" w:line="465" w:lineRule="exact"/>
        <w:ind w:right="1567"/>
        <w:rPr>
          <w:rFonts w:ascii="Times New Roman" w:hAnsi="Times New Roman" w:cs="Times New Roman"/>
          <w:sz w:val="32"/>
          <w:szCs w:val="32"/>
        </w:rPr>
      </w:pPr>
      <w:r w:rsidRPr="0021049A">
        <w:rPr>
          <w:rFonts w:ascii="Arial" w:hAnsi="Arial" w:cs="Arial"/>
          <w:b/>
          <w:bCs/>
          <w:spacing w:val="-1"/>
          <w:sz w:val="32"/>
          <w:szCs w:val="32"/>
        </w:rPr>
        <w:t>HYVINVOINTIALUEEN JA KUNNAN</w:t>
      </w:r>
      <w:r w:rsidR="00852B11" w:rsidRPr="0021049A">
        <w:rPr>
          <w:rFonts w:ascii="Arial" w:hAnsi="Arial" w:cs="Arial"/>
          <w:b/>
          <w:bCs/>
          <w:spacing w:val="-1"/>
          <w:sz w:val="32"/>
          <w:szCs w:val="32"/>
        </w:rPr>
        <w:t xml:space="preserve"> / KUNTIEN</w:t>
      </w:r>
      <w:r w:rsidR="0021049A" w:rsidRPr="0021049A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="00F45784" w:rsidRPr="0021049A">
        <w:rPr>
          <w:rFonts w:ascii="Arial" w:hAnsi="Arial" w:cs="Arial"/>
          <w:b/>
          <w:bCs/>
          <w:spacing w:val="-1"/>
          <w:sz w:val="32"/>
          <w:szCs w:val="32"/>
        </w:rPr>
        <w:t>SOPIMUS YHTEISTYÖSTÄ VARAUTUMISESSA</w:t>
      </w:r>
      <w:r w:rsidR="00F45784" w:rsidRPr="0021049A">
        <w:rPr>
          <w:rFonts w:ascii="Times New Roman" w:hAnsi="Times New Roman" w:cs="Times New Roman"/>
          <w:sz w:val="32"/>
          <w:szCs w:val="32"/>
        </w:rPr>
        <w:t xml:space="preserve"> </w:t>
      </w:r>
      <w:r w:rsidR="00F45784" w:rsidRPr="0021049A">
        <w:rPr>
          <w:rFonts w:ascii="Arial" w:hAnsi="Arial" w:cs="Arial"/>
          <w:b/>
          <w:bCs/>
          <w:sz w:val="32"/>
          <w:szCs w:val="32"/>
        </w:rPr>
        <w:t>HÄIRIÖ- JA POIKKEUSOLOIHIN</w:t>
      </w:r>
      <w:r w:rsidRPr="0021049A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TaulukkoRuudukko"/>
        <w:tblpPr w:vertAnchor="text" w:horzAnchor="page" w:tblpX="1132"/>
        <w:tblOverlap w:val="never"/>
        <w:tblW w:w="9608" w:type="dxa"/>
        <w:tblLayout w:type="fixed"/>
        <w:tblLook w:val="04A0" w:firstRow="1" w:lastRow="0" w:firstColumn="1" w:lastColumn="0" w:noHBand="0" w:noVBand="1"/>
      </w:tblPr>
      <w:tblGrid>
        <w:gridCol w:w="236"/>
        <w:gridCol w:w="4562"/>
        <w:gridCol w:w="4574"/>
        <w:gridCol w:w="236"/>
      </w:tblGrid>
      <w:tr w:rsidR="0021049A" w:rsidRPr="0021049A" w14:paraId="0EAF2870" w14:textId="77777777" w:rsidTr="00374F05">
        <w:trPr>
          <w:trHeight w:hRule="exact" w:val="479"/>
        </w:trPr>
        <w:tc>
          <w:tcPr>
            <w:tcW w:w="115" w:type="dxa"/>
            <w:tcBorders>
              <w:right w:val="nil"/>
            </w:tcBorders>
            <w:shd w:val="clear" w:color="auto" w:fill="C0C0C0"/>
          </w:tcPr>
          <w:p w14:paraId="72F18AF9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699" w:type="dxa"/>
            <w:tcBorders>
              <w:left w:val="nil"/>
              <w:right w:val="nil"/>
            </w:tcBorders>
            <w:shd w:val="clear" w:color="auto" w:fill="C0C0C0"/>
          </w:tcPr>
          <w:p w14:paraId="376D5A15" w14:textId="77777777" w:rsidR="00F45784" w:rsidRPr="0021049A" w:rsidRDefault="00F45784" w:rsidP="00F45784">
            <w:pPr>
              <w:spacing w:after="209"/>
              <w:rPr>
                <w:rFonts w:ascii="Times New Roman" w:hAnsi="Times New Roman" w:cs="Times New Roman"/>
              </w:rPr>
            </w:pPr>
            <w:r w:rsidRPr="0021049A">
              <w:rPr>
                <w:rFonts w:ascii="Arial" w:hAnsi="Arial" w:cs="Arial"/>
                <w:b/>
                <w:bCs/>
              </w:rPr>
              <w:t>1</w:t>
            </w:r>
            <w:r w:rsidRPr="0021049A">
              <w:rPr>
                <w:rFonts w:ascii="Arial" w:hAnsi="Arial" w:cs="Arial"/>
                <w:b/>
                <w:bCs/>
                <w:spacing w:val="18"/>
              </w:rPr>
              <w:t xml:space="preserve">.  </w:t>
            </w:r>
            <w:r w:rsidRPr="0021049A">
              <w:rPr>
                <w:rFonts w:ascii="Arial" w:hAnsi="Arial" w:cs="Arial"/>
                <w:b/>
                <w:bCs/>
              </w:rPr>
              <w:t>OSAPUOLET</w:t>
            </w:r>
            <w:r w:rsidRPr="00210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1" w:type="dxa"/>
            <w:tcBorders>
              <w:left w:val="nil"/>
              <w:right w:val="nil"/>
            </w:tcBorders>
            <w:shd w:val="clear" w:color="auto" w:fill="C0C0C0"/>
          </w:tcPr>
          <w:p w14:paraId="7925B98F" w14:textId="77777777" w:rsidR="00F45784" w:rsidRPr="0021049A" w:rsidRDefault="00F45784" w:rsidP="00374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C0C0C0"/>
          </w:tcPr>
          <w:p w14:paraId="374C8C4D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1049A" w:rsidRPr="0021049A" w14:paraId="6CDE021C" w14:textId="77777777" w:rsidTr="00B3631E">
        <w:trPr>
          <w:trHeight w:hRule="exact" w:val="1653"/>
        </w:trPr>
        <w:tc>
          <w:tcPr>
            <w:tcW w:w="115" w:type="dxa"/>
            <w:tcBorders>
              <w:right w:val="nil"/>
            </w:tcBorders>
          </w:tcPr>
          <w:p w14:paraId="70AF0895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699" w:type="dxa"/>
            <w:tcBorders>
              <w:left w:val="nil"/>
            </w:tcBorders>
          </w:tcPr>
          <w:p w14:paraId="097BA7A7" w14:textId="3C488193" w:rsidR="00F45784" w:rsidRPr="0021049A" w:rsidRDefault="00F45784" w:rsidP="00B3631E">
            <w:pPr>
              <w:spacing w:before="15" w:line="301" w:lineRule="exact"/>
              <w:rPr>
                <w:rFonts w:ascii="Times New Roman" w:hAnsi="Times New Roman" w:cs="Times New Roman"/>
              </w:rPr>
            </w:pPr>
            <w:r w:rsidRPr="00210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E24A1C8" wp14:editId="6E5F4DD8">
                      <wp:simplePos x="0" y="0"/>
                      <wp:positionH relativeFrom="page">
                        <wp:posOffset>2983991</wp:posOffset>
                      </wp:positionH>
                      <wp:positionV relativeFrom="line">
                        <wp:posOffset>-106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8FE2F" id="Freeform 101" o:spid="_x0000_s1026" style="position:absolute;margin-left:234.95pt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XOIO+N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1049A">
              <w:rPr>
                <w:rFonts w:ascii="Arial" w:hAnsi="Arial" w:cs="Arial"/>
              </w:rPr>
              <w:t>Hyvinvointialue</w:t>
            </w:r>
            <w:r w:rsidR="00B3631E" w:rsidRPr="0021049A">
              <w:rPr>
                <w:rFonts w:ascii="Arial" w:hAnsi="Arial" w:cs="Arial"/>
              </w:rPr>
              <w:br/>
            </w:r>
            <w:r w:rsidRPr="0021049A">
              <w:rPr>
                <w:rFonts w:ascii="Arial" w:hAnsi="Arial" w:cs="Arial"/>
              </w:rPr>
              <w:t>Y-tunnus:</w:t>
            </w:r>
            <w:r w:rsidRPr="0021049A">
              <w:rPr>
                <w:rFonts w:ascii="Times New Roman" w:hAnsi="Times New Roman" w:cs="Times New Roman"/>
              </w:rPr>
              <w:t xml:space="preserve"> </w:t>
            </w:r>
            <w:r w:rsidR="00B3631E" w:rsidRPr="0021049A">
              <w:rPr>
                <w:rFonts w:ascii="Times New Roman" w:hAnsi="Times New Roman" w:cs="Times New Roman"/>
              </w:rPr>
              <w:br/>
            </w:r>
            <w:r w:rsidRPr="0021049A">
              <w:rPr>
                <w:rFonts w:ascii="Arial" w:hAnsi="Arial" w:cs="Arial"/>
              </w:rPr>
              <w:t xml:space="preserve">Osoite:  </w:t>
            </w:r>
            <w:r w:rsidR="00B3631E" w:rsidRPr="0021049A">
              <w:rPr>
                <w:rFonts w:ascii="Times New Roman" w:hAnsi="Times New Roman" w:cs="Times New Roman"/>
              </w:rPr>
              <w:br/>
            </w:r>
            <w:r w:rsidRPr="0021049A">
              <w:rPr>
                <w:rFonts w:ascii="Arial" w:hAnsi="Arial" w:cs="Arial"/>
              </w:rPr>
              <w:t xml:space="preserve">Jäljempänä: hyvinvointialue  </w:t>
            </w:r>
          </w:p>
        </w:tc>
        <w:tc>
          <w:tcPr>
            <w:tcW w:w="4711" w:type="dxa"/>
            <w:tcBorders>
              <w:right w:val="nil"/>
            </w:tcBorders>
          </w:tcPr>
          <w:p w14:paraId="67DB63A5" w14:textId="77777777" w:rsidR="00F45784" w:rsidRPr="0021049A" w:rsidRDefault="00F45784" w:rsidP="00374F05">
            <w:pPr>
              <w:rPr>
                <w:rFonts w:ascii="Times New Roman" w:hAnsi="Times New Roman"/>
                <w:sz w:val="24"/>
                <w:szCs w:val="24"/>
              </w:rPr>
            </w:pPr>
            <w:r w:rsidRPr="00210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93A4FA7" wp14:editId="2D0EA0FF">
                      <wp:simplePos x="0" y="0"/>
                      <wp:positionH relativeFrom="page">
                        <wp:posOffset>69660</wp:posOffset>
                      </wp:positionH>
                      <wp:positionV relativeFrom="paragraph">
                        <wp:posOffset>7205</wp:posOffset>
                      </wp:positionV>
                      <wp:extent cx="2854955" cy="1067613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6131" y="7205"/>
                                <a:ext cx="2740655" cy="9533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F52320" w14:textId="5E7812DD" w:rsidR="00F45784" w:rsidRPr="00BD7BBD" w:rsidRDefault="00F45784" w:rsidP="00B3631E">
                                  <w:pPr>
                                    <w:spacing w:line="3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Kunta</w:t>
                                  </w:r>
                                  <w:r w:rsidRPr="00BD7BB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B3631E"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Y-tunnus: </w:t>
                                  </w:r>
                                  <w:r w:rsidR="00B3631E"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Osoite:  </w:t>
                                  </w:r>
                                  <w:r w:rsidRPr="00BD7BBD"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Jäljempänä: kunta</w:t>
                                  </w:r>
                                  <w:r w:rsidR="003A1499" w:rsidRPr="00C232E5">
                                    <w:rPr>
                                      <w:rFonts w:ascii="Arial" w:hAnsi="Arial" w:cs="Arial"/>
                                    </w:rPr>
                                    <w:t>/kunnat</w:t>
                                  </w:r>
                                  <w:r w:rsidRPr="00C232E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A4FA7" id="Freeform 102" o:spid="_x0000_s1026" style="position:absolute;margin-left:5.5pt;margin-top:.55pt;width:224.8pt;height:84.0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BF52320" w14:textId="5E7812DD" w:rsidR="00F45784" w:rsidRPr="00BD7BBD" w:rsidRDefault="00F45784" w:rsidP="00B3631E">
                            <w:pPr>
                              <w:spacing w:line="3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Kunta</w:t>
                            </w:r>
                            <w:r w:rsidRPr="00BD7BB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3631E"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Y-tunnus: </w:t>
                            </w:r>
                            <w:r w:rsidR="00B3631E"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Osoite:  </w:t>
                            </w:r>
                            <w:r w:rsidRPr="00BD7BBD"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Jäljempänä: kunta</w:t>
                            </w:r>
                            <w:r w:rsidR="003A1499" w:rsidRPr="00C232E5">
                              <w:rPr>
                                <w:rFonts w:ascii="Arial" w:hAnsi="Arial" w:cs="Arial"/>
                              </w:rPr>
                              <w:t>/kunnat</w:t>
                            </w:r>
                            <w:r w:rsidRPr="00C232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tcBorders>
              <w:left w:val="nil"/>
            </w:tcBorders>
          </w:tcPr>
          <w:p w14:paraId="668A90B3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1049A" w:rsidRPr="0021049A" w14:paraId="356C61FB" w14:textId="77777777" w:rsidTr="00374F05">
        <w:trPr>
          <w:trHeight w:hRule="exact" w:val="524"/>
        </w:trPr>
        <w:tc>
          <w:tcPr>
            <w:tcW w:w="115" w:type="dxa"/>
            <w:tcBorders>
              <w:right w:val="nil"/>
            </w:tcBorders>
            <w:shd w:val="clear" w:color="auto" w:fill="C0C0C0"/>
          </w:tcPr>
          <w:p w14:paraId="1C03D945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699" w:type="dxa"/>
            <w:tcBorders>
              <w:left w:val="nil"/>
            </w:tcBorders>
            <w:shd w:val="clear" w:color="auto" w:fill="C0C0C0"/>
          </w:tcPr>
          <w:p w14:paraId="5AB2F186" w14:textId="77777777" w:rsidR="00F45784" w:rsidRPr="0021049A" w:rsidRDefault="00F45784" w:rsidP="00374F05">
            <w:pPr>
              <w:spacing w:after="246"/>
              <w:ind w:left="360"/>
              <w:rPr>
                <w:rFonts w:ascii="Times New Roman" w:hAnsi="Times New Roman" w:cs="Times New Roman"/>
              </w:rPr>
            </w:pPr>
            <w:r w:rsidRPr="00210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5431C9F" wp14:editId="1AADCC44">
                      <wp:simplePos x="0" y="0"/>
                      <wp:positionH relativeFrom="page">
                        <wp:posOffset>2983991</wp:posOffset>
                      </wp:positionH>
                      <wp:positionV relativeFrom="line">
                        <wp:posOffset>10900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90F09" id="Freeform 103" o:spid="_x0000_s1026" style="position:absolute;margin-left:234.95pt;margin-top:.8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6jRddoAAAAH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1049A">
              <w:rPr>
                <w:rFonts w:ascii="Arial" w:hAnsi="Arial" w:cs="Arial"/>
                <w:b/>
                <w:bCs/>
              </w:rPr>
              <w:t>2</w:t>
            </w:r>
            <w:r w:rsidRPr="0021049A">
              <w:rPr>
                <w:rFonts w:ascii="Arial" w:hAnsi="Arial" w:cs="Arial"/>
                <w:b/>
                <w:bCs/>
                <w:spacing w:val="18"/>
              </w:rPr>
              <w:t xml:space="preserve">.  </w:t>
            </w:r>
            <w:r w:rsidRPr="0021049A">
              <w:rPr>
                <w:rFonts w:ascii="Arial" w:hAnsi="Arial" w:cs="Arial"/>
                <w:b/>
                <w:bCs/>
              </w:rPr>
              <w:t>SOPIMUKSEN TARKOITUS</w:t>
            </w:r>
            <w:r w:rsidRPr="00210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1" w:type="dxa"/>
            <w:tcBorders>
              <w:right w:val="nil"/>
            </w:tcBorders>
            <w:shd w:val="clear" w:color="auto" w:fill="C0C0C0"/>
          </w:tcPr>
          <w:p w14:paraId="1DE88A22" w14:textId="77777777" w:rsidR="00F45784" w:rsidRPr="0021049A" w:rsidRDefault="00F45784" w:rsidP="00374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C0C0C0"/>
          </w:tcPr>
          <w:p w14:paraId="7D07F5C4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1049A" w:rsidRPr="0021049A" w14:paraId="48911252" w14:textId="77777777" w:rsidTr="00D67566">
        <w:trPr>
          <w:trHeight w:hRule="exact" w:val="1467"/>
        </w:trPr>
        <w:tc>
          <w:tcPr>
            <w:tcW w:w="115" w:type="dxa"/>
            <w:tcBorders>
              <w:right w:val="nil"/>
            </w:tcBorders>
          </w:tcPr>
          <w:p w14:paraId="19F7A4BD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9410" w:type="dxa"/>
            <w:gridSpan w:val="2"/>
            <w:tcBorders>
              <w:left w:val="nil"/>
              <w:right w:val="nil"/>
            </w:tcBorders>
          </w:tcPr>
          <w:p w14:paraId="2796F1E4" w14:textId="4C4CAF16" w:rsidR="00F45784" w:rsidRPr="0021049A" w:rsidRDefault="00F45784" w:rsidP="00F45784">
            <w:pPr>
              <w:spacing w:before="15" w:line="301" w:lineRule="exact"/>
              <w:rPr>
                <w:rFonts w:ascii="Times New Roman" w:hAnsi="Times New Roman" w:cs="Times New Roman"/>
              </w:rPr>
            </w:pPr>
            <w:r w:rsidRPr="00210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88211A4" wp14:editId="50EB7840">
                      <wp:simplePos x="0" y="0"/>
                      <wp:positionH relativeFrom="page">
                        <wp:posOffset>2632824</wp:posOffset>
                      </wp:positionH>
                      <wp:positionV relativeFrom="line">
                        <wp:posOffset>175230</wp:posOffset>
                      </wp:positionV>
                      <wp:extent cx="279" cy="10274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" cy="102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9" h="10274">
                                    <a:moveTo>
                                      <a:pt x="0" y="10274"/>
                                    </a:moveTo>
                                    <a:lnTo>
                                      <a:pt x="279" y="10274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3352D" id="Freeform 104" o:spid="_x0000_s1026" style="position:absolute;margin-left:207.3pt;margin-top:13.8pt;width:0;height:.8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9,10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" path="m,10274r279,l279,,,,,10274xe" fillcolor="red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1049A">
              <w:rPr>
                <w:rFonts w:ascii="Arial" w:hAnsi="Arial" w:cs="Arial"/>
              </w:rPr>
              <w:t>Tällä sopimuksella hyvinvointialue ja kunta</w:t>
            </w:r>
            <w:r w:rsidR="003A1499" w:rsidRPr="0021049A">
              <w:rPr>
                <w:rFonts w:ascii="Arial" w:hAnsi="Arial" w:cs="Arial"/>
              </w:rPr>
              <w:t>/kunnat</w:t>
            </w:r>
            <w:r w:rsidRPr="0021049A">
              <w:rPr>
                <w:rFonts w:ascii="Arial" w:hAnsi="Arial" w:cs="Arial"/>
              </w:rPr>
              <w:t xml:space="preserve"> sopivat yhteistoiminasta väestönsuojeluun varautumises</w:t>
            </w:r>
            <w:r w:rsidR="003A1499" w:rsidRPr="0021049A">
              <w:rPr>
                <w:rFonts w:ascii="Arial" w:hAnsi="Arial" w:cs="Arial"/>
              </w:rPr>
              <w:t>t</w:t>
            </w:r>
            <w:r w:rsidRPr="0021049A">
              <w:rPr>
                <w:rFonts w:ascii="Arial" w:hAnsi="Arial" w:cs="Arial"/>
              </w:rPr>
              <w:t>a</w:t>
            </w:r>
            <w:r w:rsidR="003A1499" w:rsidRPr="0021049A">
              <w:rPr>
                <w:rFonts w:ascii="Arial" w:hAnsi="Arial" w:cs="Arial"/>
              </w:rPr>
              <w:t>,</w:t>
            </w:r>
            <w:r w:rsidRPr="0021049A">
              <w:rPr>
                <w:rFonts w:ascii="Arial" w:hAnsi="Arial" w:cs="Arial"/>
              </w:rPr>
              <w:t xml:space="preserve"> pelastustoimen ja väestönsuojelun erityisjärjestelyistä sekä sosiaali- ja terveydenhuollon</w:t>
            </w:r>
            <w:r w:rsidR="00B3631E" w:rsidRPr="0021049A">
              <w:rPr>
                <w:rFonts w:ascii="Arial" w:hAnsi="Arial" w:cs="Arial"/>
              </w:rPr>
              <w:t xml:space="preserve"> </w:t>
            </w:r>
            <w:r w:rsidRPr="0021049A">
              <w:rPr>
                <w:rFonts w:ascii="Arial" w:hAnsi="Arial" w:cs="Arial"/>
              </w:rPr>
              <w:t xml:space="preserve">valmiussuunnittelun </w:t>
            </w:r>
            <w:r w:rsidR="003A1499" w:rsidRPr="0021049A">
              <w:rPr>
                <w:rFonts w:ascii="Arial" w:hAnsi="Arial" w:cs="Arial"/>
              </w:rPr>
              <w:t xml:space="preserve">hyvinvointialueen ja kunnan/kuntien välisestä </w:t>
            </w:r>
            <w:r w:rsidRPr="0021049A">
              <w:rPr>
                <w:rFonts w:ascii="Arial" w:hAnsi="Arial" w:cs="Arial"/>
              </w:rPr>
              <w:t>yhteensovittamisesta hyvinvointialueella.</w:t>
            </w:r>
            <w:r w:rsidRPr="00210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64CA865A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1049A" w:rsidRPr="0021049A" w14:paraId="28C6F8F2" w14:textId="77777777" w:rsidTr="00374F05">
        <w:trPr>
          <w:trHeight w:hRule="exact" w:val="524"/>
        </w:trPr>
        <w:tc>
          <w:tcPr>
            <w:tcW w:w="115" w:type="dxa"/>
            <w:tcBorders>
              <w:right w:val="nil"/>
            </w:tcBorders>
            <w:shd w:val="clear" w:color="auto" w:fill="C0C0C0"/>
          </w:tcPr>
          <w:p w14:paraId="0078B5A6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941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31DD5D53" w14:textId="77777777" w:rsidR="00F45784" w:rsidRPr="0021049A" w:rsidRDefault="00F45784" w:rsidP="00374F05">
            <w:pPr>
              <w:spacing w:after="243"/>
              <w:ind w:left="360"/>
              <w:rPr>
                <w:rFonts w:ascii="Times New Roman" w:hAnsi="Times New Roman" w:cs="Times New Roman"/>
              </w:rPr>
            </w:pPr>
            <w:r w:rsidRPr="0021049A">
              <w:rPr>
                <w:rFonts w:ascii="Arial" w:hAnsi="Arial" w:cs="Arial"/>
                <w:b/>
                <w:bCs/>
              </w:rPr>
              <w:t>3</w:t>
            </w:r>
            <w:r w:rsidRPr="0021049A">
              <w:rPr>
                <w:rFonts w:ascii="Arial" w:hAnsi="Arial" w:cs="Arial"/>
                <w:b/>
                <w:bCs/>
                <w:spacing w:val="18"/>
              </w:rPr>
              <w:t xml:space="preserve">.  </w:t>
            </w:r>
            <w:r w:rsidRPr="0021049A">
              <w:rPr>
                <w:rFonts w:ascii="Arial" w:hAnsi="Arial" w:cs="Arial"/>
                <w:b/>
                <w:bCs/>
              </w:rPr>
              <w:t>YHTEISTOIMINTA JA MENETTELYTAVAT</w:t>
            </w:r>
            <w:r w:rsidRPr="00210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0C0C0"/>
          </w:tcPr>
          <w:p w14:paraId="1451FF97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1049A" w:rsidRPr="0021049A" w14:paraId="13EDD456" w14:textId="77777777" w:rsidTr="00B3631E">
        <w:trPr>
          <w:trHeight w:hRule="exact" w:val="752"/>
        </w:trPr>
        <w:tc>
          <w:tcPr>
            <w:tcW w:w="115" w:type="dxa"/>
            <w:tcBorders>
              <w:right w:val="nil"/>
            </w:tcBorders>
          </w:tcPr>
          <w:p w14:paraId="744916C4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9410" w:type="dxa"/>
            <w:gridSpan w:val="2"/>
            <w:tcBorders>
              <w:left w:val="nil"/>
              <w:right w:val="nil"/>
            </w:tcBorders>
          </w:tcPr>
          <w:p w14:paraId="32FB6443" w14:textId="7DB4372C" w:rsidR="00F45784" w:rsidRPr="0021049A" w:rsidRDefault="00F45784" w:rsidP="00374F05">
            <w:pPr>
              <w:spacing w:before="15" w:after="228"/>
              <w:ind w:right="-18"/>
              <w:rPr>
                <w:rFonts w:ascii="Times New Roman" w:hAnsi="Times New Roman" w:cs="Times New Roman"/>
              </w:rPr>
            </w:pPr>
            <w:r w:rsidRPr="0021049A">
              <w:rPr>
                <w:rFonts w:ascii="Arial" w:hAnsi="Arial" w:cs="Arial"/>
                <w:spacing w:val="-1"/>
              </w:rPr>
              <w:t xml:space="preserve">Hyvinvointialueen ja kunnan yhteistyön menettelytavat kuvataan erillisessä </w:t>
            </w:r>
            <w:r w:rsidR="00C72F57">
              <w:rPr>
                <w:rFonts w:ascii="Arial" w:hAnsi="Arial" w:cs="Arial"/>
                <w:spacing w:val="-1"/>
              </w:rPr>
              <w:t>liite</w:t>
            </w:r>
            <w:r w:rsidRPr="0021049A">
              <w:rPr>
                <w:rFonts w:ascii="Arial" w:hAnsi="Arial" w:cs="Arial"/>
                <w:spacing w:val="-1"/>
              </w:rPr>
              <w:t>asiakirjassa</w:t>
            </w:r>
            <w:r w:rsidR="00D67566">
              <w:rPr>
                <w:rFonts w:ascii="Arial" w:hAnsi="Arial" w:cs="Arial"/>
                <w:spacing w:val="-1"/>
              </w:rPr>
              <w:t xml:space="preserve"> (liite 1).</w:t>
            </w:r>
          </w:p>
        </w:tc>
        <w:tc>
          <w:tcPr>
            <w:tcW w:w="103" w:type="dxa"/>
            <w:tcBorders>
              <w:left w:val="nil"/>
            </w:tcBorders>
          </w:tcPr>
          <w:p w14:paraId="714234BB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1049A" w:rsidRPr="0021049A" w14:paraId="33CFB9E5" w14:textId="77777777" w:rsidTr="00374F05">
        <w:trPr>
          <w:trHeight w:hRule="exact" w:val="522"/>
        </w:trPr>
        <w:tc>
          <w:tcPr>
            <w:tcW w:w="115" w:type="dxa"/>
            <w:tcBorders>
              <w:right w:val="nil"/>
            </w:tcBorders>
            <w:shd w:val="clear" w:color="auto" w:fill="C0C0C0"/>
          </w:tcPr>
          <w:p w14:paraId="25F79806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941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268FDB2C" w14:textId="77777777" w:rsidR="00F45784" w:rsidRPr="0021049A" w:rsidRDefault="00F45784" w:rsidP="00374F05">
            <w:pPr>
              <w:spacing w:after="244"/>
              <w:ind w:left="360"/>
              <w:rPr>
                <w:rFonts w:ascii="Times New Roman" w:hAnsi="Times New Roman" w:cs="Times New Roman"/>
              </w:rPr>
            </w:pPr>
            <w:r w:rsidRPr="0021049A">
              <w:rPr>
                <w:rFonts w:ascii="Arial" w:hAnsi="Arial" w:cs="Arial"/>
                <w:b/>
                <w:bCs/>
              </w:rPr>
              <w:t>4</w:t>
            </w:r>
            <w:r w:rsidRPr="0021049A">
              <w:rPr>
                <w:rFonts w:ascii="Arial" w:hAnsi="Arial" w:cs="Arial"/>
                <w:b/>
                <w:bCs/>
                <w:spacing w:val="18"/>
              </w:rPr>
              <w:t xml:space="preserve">.  </w:t>
            </w:r>
            <w:r w:rsidRPr="0021049A">
              <w:rPr>
                <w:rFonts w:ascii="Arial" w:hAnsi="Arial" w:cs="Arial"/>
                <w:b/>
                <w:bCs/>
              </w:rPr>
              <w:t>SOPIMUKSEN VOIMASSAOLO JA PÄÄTTYMINEN</w:t>
            </w:r>
            <w:r w:rsidRPr="00210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0C0C0"/>
          </w:tcPr>
          <w:p w14:paraId="77D7FB47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1049A" w:rsidRPr="0021049A" w14:paraId="5915E415" w14:textId="77777777" w:rsidTr="00164A4C">
        <w:trPr>
          <w:trHeight w:hRule="exact" w:val="2590"/>
        </w:trPr>
        <w:tc>
          <w:tcPr>
            <w:tcW w:w="115" w:type="dxa"/>
            <w:tcBorders>
              <w:right w:val="nil"/>
            </w:tcBorders>
          </w:tcPr>
          <w:p w14:paraId="431B5DA2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9410" w:type="dxa"/>
            <w:gridSpan w:val="2"/>
            <w:tcBorders>
              <w:left w:val="nil"/>
              <w:right w:val="nil"/>
            </w:tcBorders>
          </w:tcPr>
          <w:p w14:paraId="5E36016B" w14:textId="4EC651F1" w:rsidR="00F45784" w:rsidRPr="0021049A" w:rsidRDefault="00F45784" w:rsidP="00F45784">
            <w:pPr>
              <w:spacing w:before="15" w:line="301" w:lineRule="exact"/>
              <w:rPr>
                <w:rFonts w:ascii="Times New Roman" w:hAnsi="Times New Roman" w:cs="Times New Roman"/>
              </w:rPr>
            </w:pPr>
            <w:r w:rsidRPr="0021049A">
              <w:rPr>
                <w:rFonts w:ascii="Arial" w:hAnsi="Arial" w:cs="Arial"/>
              </w:rPr>
              <w:t xml:space="preserve">Tämä sopimus tulee voimaan 1.1.2024 ja on voimassa </w:t>
            </w:r>
            <w:r w:rsidR="003A1499" w:rsidRPr="0021049A">
              <w:rPr>
                <w:rFonts w:ascii="Arial" w:hAnsi="Arial" w:cs="Arial"/>
              </w:rPr>
              <w:t xml:space="preserve">toistaiseksi. </w:t>
            </w:r>
            <w:r w:rsidRPr="0021049A">
              <w:rPr>
                <w:rFonts w:ascii="Arial" w:hAnsi="Arial" w:cs="Arial"/>
              </w:rPr>
              <w:t>Sopimus</w:t>
            </w:r>
            <w:r w:rsidR="003A1499" w:rsidRPr="0021049A">
              <w:rPr>
                <w:rFonts w:ascii="Arial" w:hAnsi="Arial" w:cs="Arial"/>
              </w:rPr>
              <w:t xml:space="preserve">ta tarkastellaan ja tarvittaessa päivitetään </w:t>
            </w:r>
            <w:r w:rsidRPr="0021049A">
              <w:rPr>
                <w:rFonts w:ascii="Arial" w:hAnsi="Arial" w:cs="Arial"/>
              </w:rPr>
              <w:t>vähintään hyvinvointialueen valtuustokausittain.</w:t>
            </w:r>
            <w:r w:rsidR="00B3631E" w:rsidRPr="0021049A">
              <w:rPr>
                <w:rFonts w:ascii="Arial" w:hAnsi="Arial" w:cs="Arial"/>
              </w:rPr>
              <w:br/>
            </w:r>
            <w:r w:rsidRPr="0021049A">
              <w:rPr>
                <w:rFonts w:ascii="Arial" w:hAnsi="Arial" w:cs="Arial"/>
              </w:rPr>
              <w:t>Sopimus päättyy, mikäli sopimusosapuolena oleva kunta/kaupunki siirtyy hallinnollisesti toisen hyvinvointialueen pelastuslaitoksen toimialueeseen tai kunta lakkaa olemasta jollakin kuntajakolain (1698/2009) 3 § määrittelemällä tavalla.</w:t>
            </w:r>
            <w:r w:rsidRPr="0021049A">
              <w:rPr>
                <w:rFonts w:ascii="Arial" w:hAnsi="Arial" w:cs="Arial"/>
              </w:rPr>
              <w:br/>
            </w:r>
            <w:r w:rsidR="00B3631E" w:rsidRPr="0021049A">
              <w:rPr>
                <w:rFonts w:ascii="Arial" w:hAnsi="Arial" w:cs="Arial"/>
              </w:rPr>
              <w:br/>
            </w:r>
            <w:r w:rsidRPr="0021049A">
              <w:rPr>
                <w:rFonts w:ascii="Arial" w:hAnsi="Arial" w:cs="Arial"/>
              </w:rPr>
              <w:t>Sopimus voidaan purkaa sopimusosapuolen aloitteesta, molempien sopimusosapuolien yhteisellä päätöksellä.</w:t>
            </w:r>
          </w:p>
        </w:tc>
        <w:tc>
          <w:tcPr>
            <w:tcW w:w="103" w:type="dxa"/>
            <w:tcBorders>
              <w:left w:val="nil"/>
            </w:tcBorders>
          </w:tcPr>
          <w:p w14:paraId="58E15F67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1049A" w:rsidRPr="0021049A" w14:paraId="5E6DA25A" w14:textId="77777777" w:rsidTr="00374F05">
        <w:trPr>
          <w:trHeight w:hRule="exact" w:val="524"/>
        </w:trPr>
        <w:tc>
          <w:tcPr>
            <w:tcW w:w="115" w:type="dxa"/>
            <w:tcBorders>
              <w:right w:val="nil"/>
            </w:tcBorders>
            <w:shd w:val="clear" w:color="auto" w:fill="C0C0C0"/>
          </w:tcPr>
          <w:p w14:paraId="37DBE886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4699" w:type="dxa"/>
            <w:tcBorders>
              <w:left w:val="nil"/>
              <w:right w:val="nil"/>
            </w:tcBorders>
            <w:shd w:val="clear" w:color="auto" w:fill="C0C0C0"/>
          </w:tcPr>
          <w:p w14:paraId="0A742FEE" w14:textId="77777777" w:rsidR="00F45784" w:rsidRPr="0021049A" w:rsidRDefault="00F45784" w:rsidP="00374F05">
            <w:pPr>
              <w:spacing w:after="245"/>
              <w:ind w:left="360"/>
              <w:rPr>
                <w:rFonts w:ascii="Times New Roman" w:hAnsi="Times New Roman" w:cs="Times New Roman"/>
              </w:rPr>
            </w:pPr>
            <w:r w:rsidRPr="0021049A">
              <w:rPr>
                <w:rFonts w:ascii="Arial" w:hAnsi="Arial" w:cs="Arial"/>
                <w:b/>
                <w:bCs/>
              </w:rPr>
              <w:t>5</w:t>
            </w:r>
            <w:r w:rsidRPr="0021049A">
              <w:rPr>
                <w:rFonts w:ascii="Arial" w:hAnsi="Arial" w:cs="Arial"/>
                <w:b/>
                <w:bCs/>
                <w:spacing w:val="18"/>
              </w:rPr>
              <w:t xml:space="preserve">.  </w:t>
            </w:r>
            <w:r w:rsidRPr="0021049A">
              <w:rPr>
                <w:rFonts w:ascii="Arial" w:hAnsi="Arial" w:cs="Arial"/>
                <w:b/>
                <w:bCs/>
              </w:rPr>
              <w:t>VASTUUNRAJOITUS</w:t>
            </w:r>
            <w:r w:rsidRPr="00210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1" w:type="dxa"/>
            <w:tcBorders>
              <w:left w:val="nil"/>
              <w:right w:val="nil"/>
            </w:tcBorders>
            <w:shd w:val="clear" w:color="auto" w:fill="C0C0C0"/>
          </w:tcPr>
          <w:p w14:paraId="265F695F" w14:textId="77777777" w:rsidR="00F45784" w:rsidRPr="0021049A" w:rsidRDefault="00F45784" w:rsidP="00374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C0C0C0"/>
          </w:tcPr>
          <w:p w14:paraId="355A25EC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1049A" w:rsidRPr="0021049A" w14:paraId="3E6F47DC" w14:textId="77777777" w:rsidTr="00C72F57">
        <w:trPr>
          <w:trHeight w:hRule="exact" w:val="2017"/>
        </w:trPr>
        <w:tc>
          <w:tcPr>
            <w:tcW w:w="115" w:type="dxa"/>
            <w:tcBorders>
              <w:right w:val="nil"/>
            </w:tcBorders>
          </w:tcPr>
          <w:p w14:paraId="2EFA4BCF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9410" w:type="dxa"/>
            <w:gridSpan w:val="2"/>
            <w:tcBorders>
              <w:left w:val="nil"/>
              <w:right w:val="nil"/>
            </w:tcBorders>
          </w:tcPr>
          <w:p w14:paraId="1D6F5DA5" w14:textId="301442D8" w:rsidR="00F45784" w:rsidRPr="0021049A" w:rsidRDefault="00F45784" w:rsidP="00F45784">
            <w:pPr>
              <w:spacing w:before="13" w:line="301" w:lineRule="exact"/>
              <w:ind w:right="-18"/>
              <w:rPr>
                <w:rFonts w:ascii="Times New Roman" w:hAnsi="Times New Roman" w:cs="Times New Roman"/>
              </w:rPr>
            </w:pPr>
            <w:r w:rsidRPr="0021049A">
              <w:rPr>
                <w:rFonts w:ascii="Arial" w:hAnsi="Arial" w:cs="Arial"/>
                <w:spacing w:val="-1"/>
              </w:rPr>
              <w:t>Tämä sopimus rajoittuu hyvinvointialueen ja kunnan yhteistyöhön varautumisessa</w:t>
            </w:r>
            <w:r w:rsidR="003A1499" w:rsidRPr="0021049A">
              <w:rPr>
                <w:rFonts w:ascii="Arial" w:hAnsi="Arial" w:cs="Arial"/>
                <w:spacing w:val="-1"/>
              </w:rPr>
              <w:t xml:space="preserve"> sekä </w:t>
            </w:r>
            <w:r w:rsidR="009D7522" w:rsidRPr="0021049A">
              <w:rPr>
                <w:rFonts w:ascii="Arial" w:hAnsi="Arial" w:cs="Arial"/>
                <w:spacing w:val="-1"/>
              </w:rPr>
              <w:t>yhteis</w:t>
            </w:r>
            <w:r w:rsidR="003A1499" w:rsidRPr="0021049A">
              <w:rPr>
                <w:rFonts w:ascii="Arial" w:hAnsi="Arial" w:cs="Arial"/>
                <w:spacing w:val="-1"/>
              </w:rPr>
              <w:t>toimin</w:t>
            </w:r>
            <w:r w:rsidR="009D7522" w:rsidRPr="0021049A">
              <w:rPr>
                <w:rFonts w:ascii="Arial" w:hAnsi="Arial" w:cs="Arial"/>
                <w:spacing w:val="-1"/>
              </w:rPr>
              <w:t>taan</w:t>
            </w:r>
            <w:r w:rsidR="003A1499" w:rsidRPr="0021049A">
              <w:rPr>
                <w:rFonts w:ascii="Arial" w:hAnsi="Arial" w:cs="Arial"/>
                <w:spacing w:val="-1"/>
              </w:rPr>
              <w:t xml:space="preserve"> häiriötilanteissa ja poikkeusoloissa</w:t>
            </w:r>
            <w:r w:rsidRPr="0021049A">
              <w:rPr>
                <w:rFonts w:ascii="Arial" w:hAnsi="Arial" w:cs="Arial"/>
                <w:spacing w:val="-1"/>
              </w:rPr>
              <w:t>. Sopimuksella</w:t>
            </w:r>
            <w:r w:rsidRPr="0021049A">
              <w:rPr>
                <w:rFonts w:ascii="Times New Roman" w:hAnsi="Times New Roman" w:cs="Times New Roman"/>
              </w:rPr>
              <w:t xml:space="preserve"> </w:t>
            </w:r>
            <w:r w:rsidRPr="0021049A">
              <w:rPr>
                <w:rFonts w:ascii="Arial" w:hAnsi="Arial" w:cs="Arial"/>
              </w:rPr>
              <w:t xml:space="preserve">ei voida siirtää kunnan/kaupungin tai hyvinvointialueen vastuulla olevia varautumisen, valmiussuunnittelun tai väestönsuojelun tehtäviä kunnalle/kaupungille tai hyvinvointialueelle. Hyvinvointialue ja kunta eivät takaa, että kaikkia liitteessä 1. esitettyjä palveluita kyetään toteuttamaan laajoissa häiriötilanteissa tai poikkeusoloissa.  </w:t>
            </w:r>
          </w:p>
        </w:tc>
        <w:tc>
          <w:tcPr>
            <w:tcW w:w="103" w:type="dxa"/>
            <w:tcBorders>
              <w:left w:val="nil"/>
            </w:tcBorders>
          </w:tcPr>
          <w:p w14:paraId="54684015" w14:textId="77777777" w:rsidR="00F45784" w:rsidRPr="0021049A" w:rsidRDefault="00F45784" w:rsidP="00374F0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14:paraId="7BC783FC" w14:textId="77777777" w:rsidR="009246A5" w:rsidRPr="0021049A" w:rsidRDefault="009246A5"/>
    <w:p w14:paraId="310141C6" w14:textId="77777777" w:rsidR="00EF4402" w:rsidRPr="0021049A" w:rsidRDefault="00EF4402"/>
    <w:p w14:paraId="38937CEC" w14:textId="77777777" w:rsidR="00EF4402" w:rsidRPr="0021049A" w:rsidRDefault="00EF4402"/>
    <w:p w14:paraId="4955D9C0" w14:textId="3F7A6737" w:rsidR="00EF4402" w:rsidRPr="0021049A" w:rsidRDefault="00B3631E">
      <w:pPr>
        <w:rPr>
          <w:b/>
          <w:bCs/>
        </w:rPr>
      </w:pPr>
      <w:r w:rsidRPr="0021049A">
        <w:rPr>
          <w:b/>
          <w:bCs/>
        </w:rPr>
        <w:lastRenderedPageBreak/>
        <w:t>LIITE 1</w:t>
      </w:r>
      <w:r w:rsidRPr="0021049A">
        <w:rPr>
          <w:b/>
          <w:bCs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47"/>
        <w:gridCol w:w="5981"/>
      </w:tblGrid>
      <w:tr w:rsidR="0021049A" w:rsidRPr="0021049A" w14:paraId="5851269A" w14:textId="77777777" w:rsidTr="00B3631E">
        <w:trPr>
          <w:trHeight w:val="650"/>
        </w:trPr>
        <w:tc>
          <w:tcPr>
            <w:tcW w:w="9628" w:type="dxa"/>
            <w:gridSpan w:val="2"/>
            <w:shd w:val="clear" w:color="auto" w:fill="D9D9D9" w:themeFill="background1" w:themeFillShade="D9"/>
            <w:noWrap/>
            <w:hideMark/>
          </w:tcPr>
          <w:p w14:paraId="29EBDB84" w14:textId="627AA350" w:rsidR="00EF4402" w:rsidRPr="0021049A" w:rsidRDefault="00EF4402" w:rsidP="00A22CB3">
            <w:pPr>
              <w:tabs>
                <w:tab w:val="center" w:pos="4706"/>
              </w:tabs>
              <w:rPr>
                <w:b/>
                <w:bCs/>
              </w:rPr>
            </w:pPr>
            <w:r w:rsidRPr="0021049A">
              <w:rPr>
                <w:b/>
                <w:bCs/>
              </w:rPr>
              <w:t>VARAUTUMISEN KESKEISET TOIMINNOT</w:t>
            </w:r>
            <w:r w:rsidR="00A22CB3" w:rsidRPr="0021049A">
              <w:rPr>
                <w:b/>
                <w:bCs/>
              </w:rPr>
              <w:tab/>
            </w:r>
          </w:p>
        </w:tc>
      </w:tr>
      <w:tr w:rsidR="0021049A" w:rsidRPr="0021049A" w14:paraId="78A82BFC" w14:textId="77777777" w:rsidTr="00B3631E">
        <w:trPr>
          <w:trHeight w:val="650"/>
        </w:trPr>
        <w:tc>
          <w:tcPr>
            <w:tcW w:w="3647" w:type="dxa"/>
            <w:shd w:val="clear" w:color="auto" w:fill="D9D9D9" w:themeFill="background1" w:themeFillShade="D9"/>
            <w:noWrap/>
            <w:hideMark/>
          </w:tcPr>
          <w:p w14:paraId="3C42BF02" w14:textId="77777777" w:rsidR="00EF4402" w:rsidRPr="0021049A" w:rsidRDefault="00EF4402" w:rsidP="00EF4402">
            <w:pPr>
              <w:rPr>
                <w:b/>
                <w:bCs/>
              </w:rPr>
            </w:pPr>
            <w:r w:rsidRPr="0021049A">
              <w:rPr>
                <w:b/>
                <w:bCs/>
              </w:rPr>
              <w:t>TOIMINTO</w:t>
            </w:r>
          </w:p>
        </w:tc>
        <w:tc>
          <w:tcPr>
            <w:tcW w:w="5981" w:type="dxa"/>
            <w:shd w:val="clear" w:color="auto" w:fill="D9D9D9" w:themeFill="background1" w:themeFillShade="D9"/>
            <w:noWrap/>
            <w:hideMark/>
          </w:tcPr>
          <w:p w14:paraId="67A67A21" w14:textId="77777777" w:rsidR="00EF4402" w:rsidRPr="0021049A" w:rsidRDefault="00EF4402" w:rsidP="00EF4402">
            <w:pPr>
              <w:rPr>
                <w:b/>
                <w:bCs/>
              </w:rPr>
            </w:pPr>
            <w:r w:rsidRPr="0021049A">
              <w:rPr>
                <w:b/>
                <w:bCs/>
              </w:rPr>
              <w:t>KUVAUS</w:t>
            </w:r>
          </w:p>
        </w:tc>
      </w:tr>
      <w:tr w:rsidR="0021049A" w:rsidRPr="0021049A" w14:paraId="7DD986EE" w14:textId="77777777" w:rsidTr="00B3631E">
        <w:trPr>
          <w:trHeight w:val="2215"/>
        </w:trPr>
        <w:tc>
          <w:tcPr>
            <w:tcW w:w="3647" w:type="dxa"/>
            <w:hideMark/>
          </w:tcPr>
          <w:p w14:paraId="66AC673E" w14:textId="3E2927B8" w:rsidR="00EF4402" w:rsidRPr="0021049A" w:rsidRDefault="00321BB9" w:rsidP="00EF4402">
            <w:pPr>
              <w:rPr>
                <w:b/>
                <w:bCs/>
              </w:rPr>
            </w:pPr>
            <w:r w:rsidRPr="0021049A">
              <w:rPr>
                <w:b/>
                <w:bCs/>
              </w:rPr>
              <w:t>Hälytysyhteys kunnan johtoryhmään</w:t>
            </w:r>
            <w:r w:rsidR="00EF4402" w:rsidRPr="0021049A">
              <w:rPr>
                <w:b/>
                <w:bCs/>
              </w:rPr>
              <w:t xml:space="preserve">  </w:t>
            </w:r>
          </w:p>
        </w:tc>
        <w:tc>
          <w:tcPr>
            <w:tcW w:w="5981" w:type="dxa"/>
            <w:hideMark/>
          </w:tcPr>
          <w:p w14:paraId="7F01A9BC" w14:textId="57300AF5" w:rsidR="00EF4402" w:rsidRPr="0021049A" w:rsidRDefault="00EF4402" w:rsidP="00EF4402">
            <w:r w:rsidRPr="0021049A">
              <w:t xml:space="preserve">Hyvinvointialue </w:t>
            </w:r>
            <w:r w:rsidR="00321BB9" w:rsidRPr="0021049A">
              <w:t xml:space="preserve">antaa tässä sopimuksessa määritetyllä tavalla ja kynnyksellä hälytyksen </w:t>
            </w:r>
            <w:r w:rsidRPr="0021049A">
              <w:t xml:space="preserve">onnettomuustilanteissa, häiriötilanteissa ja poikkeusoloissa </w:t>
            </w:r>
            <w:r w:rsidR="00321BB9" w:rsidRPr="0021049A">
              <w:t xml:space="preserve">kunnan johtoryhmälle. </w:t>
            </w:r>
            <w:r w:rsidR="00561B64" w:rsidRPr="0021049A">
              <w:rPr>
                <w:strike/>
              </w:rPr>
              <w:br/>
            </w:r>
            <w:r w:rsidR="00A22CB3" w:rsidRPr="0021049A">
              <w:br/>
            </w:r>
            <w:r w:rsidR="00321BB9" w:rsidRPr="0021049A">
              <w:t>Hälytysyhteyttä kunnan johtoryhmään ylläpidetään ja testataan tässä sopimuksessa määritetyllä tavalla.</w:t>
            </w:r>
          </w:p>
        </w:tc>
      </w:tr>
      <w:tr w:rsidR="0021049A" w:rsidRPr="0021049A" w14:paraId="3D209A2A" w14:textId="77777777" w:rsidTr="00B3631E">
        <w:trPr>
          <w:trHeight w:val="2813"/>
        </w:trPr>
        <w:tc>
          <w:tcPr>
            <w:tcW w:w="3647" w:type="dxa"/>
            <w:hideMark/>
          </w:tcPr>
          <w:p w14:paraId="1D1A5F8F" w14:textId="10E8AA46" w:rsidR="00EF4402" w:rsidRPr="0021049A" w:rsidRDefault="00321BB9" w:rsidP="00EF4402">
            <w:pPr>
              <w:rPr>
                <w:b/>
                <w:bCs/>
                <w:strike/>
              </w:rPr>
            </w:pPr>
            <w:r w:rsidRPr="0021049A">
              <w:rPr>
                <w:b/>
                <w:bCs/>
              </w:rPr>
              <w:t>Muiden kunnan organisaatioiden hälyttäminen</w:t>
            </w:r>
            <w:r w:rsidRPr="0021049A">
              <w:rPr>
                <w:b/>
                <w:bCs/>
                <w:strike/>
              </w:rPr>
              <w:t xml:space="preserve">  </w:t>
            </w:r>
          </w:p>
        </w:tc>
        <w:tc>
          <w:tcPr>
            <w:tcW w:w="5981" w:type="dxa"/>
            <w:hideMark/>
          </w:tcPr>
          <w:p w14:paraId="17D0B79C" w14:textId="20DDBCB3" w:rsidR="00EF4402" w:rsidRPr="0021049A" w:rsidRDefault="00EF4402" w:rsidP="00EF4402">
            <w:r w:rsidRPr="0021049A">
              <w:t xml:space="preserve">Hyvinvointialue </w:t>
            </w:r>
            <w:r w:rsidR="00321BB9" w:rsidRPr="0021049A">
              <w:t xml:space="preserve">hälyttää </w:t>
            </w:r>
            <w:r w:rsidRPr="0021049A">
              <w:t xml:space="preserve">onnettomuustilanteissa, häiriötilanteissa ja poikkeusoloissa </w:t>
            </w:r>
            <w:r w:rsidR="00321BB9" w:rsidRPr="0021049A">
              <w:t xml:space="preserve">kunnan </w:t>
            </w:r>
            <w:r w:rsidRPr="0021049A">
              <w:t>yksittäisten organisaatio</w:t>
            </w:r>
            <w:r w:rsidR="00321BB9" w:rsidRPr="0021049A">
              <w:t>n</w:t>
            </w:r>
            <w:r w:rsidRPr="0021049A">
              <w:t xml:space="preserve"> </w:t>
            </w:r>
            <w:r w:rsidR="00321BB9" w:rsidRPr="0021049A">
              <w:t>tai</w:t>
            </w:r>
            <w:r w:rsidRPr="0021049A">
              <w:t xml:space="preserve"> toimij</w:t>
            </w:r>
            <w:r w:rsidR="00321BB9" w:rsidRPr="0021049A">
              <w:t>an</w:t>
            </w:r>
            <w:r w:rsidR="00561B64" w:rsidRPr="0021049A">
              <w:t xml:space="preserve"> </w:t>
            </w:r>
            <w:r w:rsidR="00321BB9" w:rsidRPr="0021049A">
              <w:t>tässä sopimuksessa määritetyllä tavalla.</w:t>
            </w:r>
            <w:r w:rsidR="00561B64" w:rsidRPr="0021049A">
              <w:br/>
            </w:r>
            <w:r w:rsidR="00A22CB3" w:rsidRPr="0021049A">
              <w:br/>
            </w:r>
            <w:r w:rsidR="00321BB9" w:rsidRPr="0021049A">
              <w:t xml:space="preserve">Hyvinvointialue </w:t>
            </w:r>
            <w:r w:rsidRPr="0021049A">
              <w:t xml:space="preserve">ylläpitää ajantasaista tietoa hälytettävistä </w:t>
            </w:r>
            <w:r w:rsidR="001C2B00" w:rsidRPr="0021049A">
              <w:t xml:space="preserve">kunnan organisaatioista tai toimijoista sekä </w:t>
            </w:r>
            <w:r w:rsidRPr="0021049A">
              <w:t>yhteistyön rajapinnoista.</w:t>
            </w:r>
          </w:p>
        </w:tc>
      </w:tr>
      <w:tr w:rsidR="0021049A" w:rsidRPr="0021049A" w14:paraId="20C9C527" w14:textId="77777777" w:rsidTr="00B3631E">
        <w:trPr>
          <w:trHeight w:val="2542"/>
        </w:trPr>
        <w:tc>
          <w:tcPr>
            <w:tcW w:w="3647" w:type="dxa"/>
            <w:hideMark/>
          </w:tcPr>
          <w:p w14:paraId="26C70378" w14:textId="4749DB67" w:rsidR="00EF4402" w:rsidRPr="0021049A" w:rsidRDefault="001C2B00" w:rsidP="00EF4402">
            <w:pPr>
              <w:rPr>
                <w:b/>
                <w:bCs/>
              </w:rPr>
            </w:pPr>
            <w:r w:rsidRPr="0021049A">
              <w:rPr>
                <w:b/>
                <w:bCs/>
              </w:rPr>
              <w:t>Tilannekuvan jakaminen</w:t>
            </w:r>
            <w:r w:rsidR="00EF4402" w:rsidRPr="0021049A">
              <w:rPr>
                <w:i/>
                <w:iCs/>
              </w:rPr>
              <w:t xml:space="preserve">  </w:t>
            </w:r>
          </w:p>
        </w:tc>
        <w:tc>
          <w:tcPr>
            <w:tcW w:w="5981" w:type="dxa"/>
            <w:hideMark/>
          </w:tcPr>
          <w:p w14:paraId="3BDCCDA3" w14:textId="60B9E72A" w:rsidR="00EF4402" w:rsidRPr="0021049A" w:rsidRDefault="00EF4402" w:rsidP="00EF4402">
            <w:r w:rsidRPr="0021049A">
              <w:t xml:space="preserve">Hyvinvointialueen tilanne- ja johtokeskus ylläpitää </w:t>
            </w:r>
            <w:r w:rsidR="001C2B00" w:rsidRPr="0021049A">
              <w:t xml:space="preserve">ja jakaa </w:t>
            </w:r>
            <w:r w:rsidRPr="0021049A">
              <w:t>eri häiriötilanteissa</w:t>
            </w:r>
            <w:r w:rsidR="00FF3D70" w:rsidRPr="0021049A">
              <w:t xml:space="preserve"> </w:t>
            </w:r>
            <w:r w:rsidRPr="0021049A">
              <w:t>ajantasai</w:t>
            </w:r>
            <w:r w:rsidR="001C2B00" w:rsidRPr="0021049A">
              <w:t>st</w:t>
            </w:r>
            <w:r w:rsidRPr="0021049A">
              <w:t>a</w:t>
            </w:r>
            <w:r w:rsidR="00FF3D70" w:rsidRPr="0021049A">
              <w:t xml:space="preserve"> </w:t>
            </w:r>
            <w:r w:rsidRPr="0021049A">
              <w:t>tilannekuvaa kun</w:t>
            </w:r>
            <w:r w:rsidR="001C2B00" w:rsidRPr="0021049A">
              <w:t>nille</w:t>
            </w:r>
            <w:r w:rsidRPr="0021049A">
              <w:t xml:space="preserve"> erikseen sovittavalla tavalla.</w:t>
            </w:r>
            <w:r w:rsidR="00CF5ED9" w:rsidRPr="0021049A">
              <w:t xml:space="preserve"> </w:t>
            </w:r>
            <w:r w:rsidR="00561B64" w:rsidRPr="0021049A">
              <w:br/>
            </w:r>
            <w:r w:rsidR="00FF3D70" w:rsidRPr="0021049A">
              <w:br/>
            </w:r>
            <w:r w:rsidRPr="0021049A">
              <w:t xml:space="preserve">Suositeltavaa on, että varauduttaisiin myös internetin ulkopuolella toimivien tilannekuvajärjestelmien käyttöön (esim. </w:t>
            </w:r>
            <w:proofErr w:type="spellStart"/>
            <w:r w:rsidRPr="0021049A">
              <w:t>Krivat</w:t>
            </w:r>
            <w:proofErr w:type="spellEnd"/>
            <w:r w:rsidRPr="0021049A">
              <w:t>) yhdyshenkilöiden välityksellä niiden tilanteiden varall</w:t>
            </w:r>
            <w:r w:rsidR="00FF3D70" w:rsidRPr="0021049A">
              <w:t>e</w:t>
            </w:r>
            <w:r w:rsidRPr="0021049A">
              <w:t>, joissa tilannekuvatietoa ei voida turvallisesti välittää muuta kautta.</w:t>
            </w:r>
          </w:p>
        </w:tc>
      </w:tr>
      <w:tr w:rsidR="0021049A" w:rsidRPr="0021049A" w14:paraId="4767D6BF" w14:textId="77777777" w:rsidTr="00B3631E">
        <w:trPr>
          <w:trHeight w:val="1240"/>
        </w:trPr>
        <w:tc>
          <w:tcPr>
            <w:tcW w:w="3647" w:type="dxa"/>
          </w:tcPr>
          <w:p w14:paraId="3EB2986D" w14:textId="6441404B" w:rsidR="003A1499" w:rsidRPr="0021049A" w:rsidRDefault="00CF5ED9" w:rsidP="00EF4402">
            <w:pPr>
              <w:rPr>
                <w:b/>
                <w:bCs/>
              </w:rPr>
            </w:pPr>
            <w:r w:rsidRPr="0021049A">
              <w:rPr>
                <w:b/>
                <w:bCs/>
              </w:rPr>
              <w:t>Vaaratiedot</w:t>
            </w:r>
            <w:r w:rsidR="001C2B00" w:rsidRPr="0021049A">
              <w:rPr>
                <w:b/>
                <w:bCs/>
              </w:rPr>
              <w:t>teen antaminen</w:t>
            </w:r>
            <w:r w:rsidR="001C2B00" w:rsidRPr="0021049A">
              <w:rPr>
                <w:b/>
                <w:bCs/>
              </w:rPr>
              <w:br/>
              <w:t>kunnan ympäristöterveydenhuollon johtamasta tilanteesta</w:t>
            </w:r>
          </w:p>
        </w:tc>
        <w:tc>
          <w:tcPr>
            <w:tcW w:w="5981" w:type="dxa"/>
          </w:tcPr>
          <w:p w14:paraId="648E6FE7" w14:textId="0E9B88B9" w:rsidR="003A1499" w:rsidRPr="0021049A" w:rsidRDefault="003A1499" w:rsidP="00EF4402">
            <w:r w:rsidRPr="0021049A">
              <w:t>Väestön elinympäristön terveydensuojelua koskevassa vaaratilanteessa pelastustoimi antaa vaaratiedotteen sellaisissa tilanteissa, joissa kunnan ympäristöterveydenhuollosta vastaavalla viranomaisella on johtovastuu. Kunnan ympäristöterveydenhuollosta vastaava viranomainen vastaa vaaratiedotteen laatimisesta ja sen sisällöstä.</w:t>
            </w:r>
          </w:p>
        </w:tc>
      </w:tr>
      <w:tr w:rsidR="0021049A" w:rsidRPr="0021049A" w14:paraId="6BF839BC" w14:textId="77777777" w:rsidTr="00B3631E">
        <w:trPr>
          <w:trHeight w:val="1240"/>
        </w:trPr>
        <w:tc>
          <w:tcPr>
            <w:tcW w:w="3647" w:type="dxa"/>
            <w:hideMark/>
          </w:tcPr>
          <w:p w14:paraId="779D21F6" w14:textId="77777777" w:rsidR="00EF4402" w:rsidRPr="0021049A" w:rsidRDefault="00EF4402" w:rsidP="00EF4402">
            <w:pPr>
              <w:rPr>
                <w:b/>
                <w:bCs/>
              </w:rPr>
            </w:pPr>
            <w:r w:rsidRPr="0021049A">
              <w:rPr>
                <w:b/>
                <w:bCs/>
              </w:rPr>
              <w:t xml:space="preserve">Koulutukset  </w:t>
            </w:r>
          </w:p>
        </w:tc>
        <w:tc>
          <w:tcPr>
            <w:tcW w:w="5981" w:type="dxa"/>
            <w:hideMark/>
          </w:tcPr>
          <w:p w14:paraId="622CCE6E" w14:textId="6FF3938B" w:rsidR="00EF4402" w:rsidRPr="0021049A" w:rsidRDefault="001C2B00" w:rsidP="00EF4402">
            <w:r w:rsidRPr="0021049A">
              <w:t>Tässä</w:t>
            </w:r>
            <w:r w:rsidRPr="0021049A">
              <w:rPr>
                <w:i/>
                <w:iCs/>
              </w:rPr>
              <w:t xml:space="preserve"> s</w:t>
            </w:r>
            <w:r w:rsidR="00CF5ED9" w:rsidRPr="0021049A">
              <w:t xml:space="preserve">opimuksessa sovitaan </w:t>
            </w:r>
            <w:r w:rsidRPr="0021049A">
              <w:t xml:space="preserve">hyvinvointialueen ja kunnan välisestä </w:t>
            </w:r>
            <w:r w:rsidR="00CF5ED9" w:rsidRPr="0021049A">
              <w:t xml:space="preserve">koulutusyhteistyöstä. </w:t>
            </w:r>
            <w:r w:rsidR="00EF4402" w:rsidRPr="0021049A">
              <w:t xml:space="preserve">Koulutusten teemat </w:t>
            </w:r>
            <w:r w:rsidR="00FF3D70" w:rsidRPr="0021049A">
              <w:t>sovitaan yhteisesti</w:t>
            </w:r>
            <w:r w:rsidR="00EF4402" w:rsidRPr="0021049A">
              <w:t xml:space="preserve"> vuosittain </w:t>
            </w:r>
            <w:r w:rsidR="00FF3D70" w:rsidRPr="0021049A">
              <w:t>esim.</w:t>
            </w:r>
            <w:r w:rsidR="00EF4402" w:rsidRPr="0021049A">
              <w:t xml:space="preserve"> viestintä, huoltovarmuus, väestönsuojelu, evakuoinnit</w:t>
            </w:r>
            <w:r w:rsidR="00FF3D70" w:rsidRPr="0021049A">
              <w:t xml:space="preserve"> ja</w:t>
            </w:r>
            <w:r w:rsidR="00EF4402" w:rsidRPr="0021049A">
              <w:t xml:space="preserve"> viranomaisyhteistoiminta</w:t>
            </w:r>
            <w:r w:rsidR="00FF3D70" w:rsidRPr="0021049A">
              <w:t>.</w:t>
            </w:r>
            <w:r w:rsidR="00EF4402" w:rsidRPr="0021049A">
              <w:t xml:space="preserve">  </w:t>
            </w:r>
          </w:p>
        </w:tc>
      </w:tr>
      <w:tr w:rsidR="0021049A" w:rsidRPr="0021049A" w14:paraId="6FA78451" w14:textId="77777777" w:rsidTr="00B3631E">
        <w:trPr>
          <w:trHeight w:val="2090"/>
        </w:trPr>
        <w:tc>
          <w:tcPr>
            <w:tcW w:w="3647" w:type="dxa"/>
            <w:hideMark/>
          </w:tcPr>
          <w:p w14:paraId="2CCBD117" w14:textId="77777777" w:rsidR="00EF4402" w:rsidRPr="0021049A" w:rsidRDefault="00EF4402" w:rsidP="00EF4402">
            <w:pPr>
              <w:rPr>
                <w:b/>
                <w:bCs/>
              </w:rPr>
            </w:pPr>
            <w:r w:rsidRPr="0021049A">
              <w:rPr>
                <w:b/>
                <w:bCs/>
              </w:rPr>
              <w:lastRenderedPageBreak/>
              <w:t xml:space="preserve">Kuntien valmiuden yhteyshenkilöt  </w:t>
            </w:r>
          </w:p>
        </w:tc>
        <w:tc>
          <w:tcPr>
            <w:tcW w:w="5981" w:type="dxa"/>
            <w:hideMark/>
          </w:tcPr>
          <w:p w14:paraId="2221397F" w14:textId="6E701C13" w:rsidR="00EF4402" w:rsidRPr="0021049A" w:rsidRDefault="00EF4402" w:rsidP="00EF4402">
            <w:r w:rsidRPr="0021049A">
              <w:t>Kunta nimeää yhden valmiussuunnittelun yhteyshenkilön ja hänelle varahenkilön, joka toimii linkkinä hyvinvointialueen ja kunnan välillä. Yhteyshenkilöiden avulla</w:t>
            </w:r>
            <w:r w:rsidR="00FF3D70" w:rsidRPr="0021049A">
              <w:t xml:space="preserve"> </w:t>
            </w:r>
            <w:r w:rsidRPr="0021049A">
              <w:t>varmistetaan</w:t>
            </w:r>
            <w:r w:rsidR="00FF3D70" w:rsidRPr="0021049A">
              <w:t xml:space="preserve"> </w:t>
            </w:r>
            <w:r w:rsidRPr="0021049A">
              <w:t>ajantasaisen tiedon kulku hyvinvointialueen ja</w:t>
            </w:r>
            <w:r w:rsidR="00FF3D70" w:rsidRPr="0021049A">
              <w:t xml:space="preserve"> </w:t>
            </w:r>
            <w:r w:rsidRPr="0021049A">
              <w:t>kuntien välillä. Yhteyshenkilöille järjestetään</w:t>
            </w:r>
            <w:r w:rsidR="00CF5ED9" w:rsidRPr="0021049A">
              <w:t xml:space="preserve"> </w:t>
            </w:r>
            <w:r w:rsidRPr="0021049A">
              <w:t xml:space="preserve">vuosittain 1–2 neuvottelutilaisuutta, jossa käydään läpi valmiussuunnittelun ajankohtaisia asioita sekä vuoden koulutusteemaan liittyviä esityksiä.  </w:t>
            </w:r>
          </w:p>
        </w:tc>
      </w:tr>
      <w:tr w:rsidR="0021049A" w:rsidRPr="0021049A" w14:paraId="653D5BDD" w14:textId="77777777" w:rsidTr="00B3631E">
        <w:trPr>
          <w:trHeight w:val="1800"/>
        </w:trPr>
        <w:tc>
          <w:tcPr>
            <w:tcW w:w="3647" w:type="dxa"/>
            <w:hideMark/>
          </w:tcPr>
          <w:p w14:paraId="088C06B3" w14:textId="51288302" w:rsidR="00EF4402" w:rsidRPr="0021049A" w:rsidRDefault="00EF4402" w:rsidP="00EF4402">
            <w:pPr>
              <w:rPr>
                <w:b/>
                <w:bCs/>
              </w:rPr>
            </w:pPr>
            <w:r w:rsidRPr="0021049A">
              <w:rPr>
                <w:b/>
                <w:bCs/>
              </w:rPr>
              <w:t xml:space="preserve">Hyvinvointialueen </w:t>
            </w:r>
            <w:r w:rsidR="00350D5F" w:rsidRPr="0021049A">
              <w:rPr>
                <w:b/>
                <w:bCs/>
              </w:rPr>
              <w:t>yhteydenpito kuntaan eri turvallisuustilanteissa</w:t>
            </w:r>
          </w:p>
        </w:tc>
        <w:tc>
          <w:tcPr>
            <w:tcW w:w="5981" w:type="dxa"/>
            <w:hideMark/>
          </w:tcPr>
          <w:p w14:paraId="7EE9AA76" w14:textId="2D1BA20E" w:rsidR="00EF4402" w:rsidRPr="0021049A" w:rsidRDefault="00350D5F" w:rsidP="00EF4402">
            <w:r w:rsidRPr="0021049A">
              <w:t xml:space="preserve">Hyvinvointialue järjestää tarkoituksenmukaisen yhteydenpidon kunnan kanssa </w:t>
            </w:r>
            <w:r w:rsidR="001C2B00" w:rsidRPr="0021049A">
              <w:t xml:space="preserve">ml. osallistumisen kunnan johtoryhmän työskentelyyn </w:t>
            </w:r>
            <w:r w:rsidRPr="0021049A">
              <w:t>kaikissa eri turvallisuustilanteissa.</w:t>
            </w:r>
          </w:p>
        </w:tc>
      </w:tr>
      <w:tr w:rsidR="0021049A" w:rsidRPr="0021049A" w14:paraId="75FA5196" w14:textId="77777777" w:rsidTr="00B3631E">
        <w:trPr>
          <w:trHeight w:val="1860"/>
        </w:trPr>
        <w:tc>
          <w:tcPr>
            <w:tcW w:w="3647" w:type="dxa"/>
            <w:noWrap/>
            <w:hideMark/>
          </w:tcPr>
          <w:p w14:paraId="2B519482" w14:textId="5B8E89FF" w:rsidR="00EF4402" w:rsidRPr="0021049A" w:rsidRDefault="00EF4402" w:rsidP="00EF4402">
            <w:r w:rsidRPr="00210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B06E2E6" wp14:editId="1AC74FC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6350" cy="6350"/>
                      <wp:effectExtent l="0" t="0" r="0" b="0"/>
                      <wp:wrapNone/>
                      <wp:docPr id="776761374" name="Vapaamuotoinen: Muoto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4B0A46-62C4-70CA-A19B-7B897C3D02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56409" id="Vapaamuotoinen: Muoto 35" o:spid="_x0000_s1026" style="position:absolute;margin-left:.5pt;margin-top:.5pt;width:.5pt;height: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" path="m,6096r6109,l6109,,,,,6096xe" fillcolor="black" stroked="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21049A">
              <w:rPr>
                <w:b/>
                <w:bCs/>
              </w:rPr>
              <w:t xml:space="preserve">Valmius- ja </w:t>
            </w:r>
            <w:r w:rsidR="00854C70" w:rsidRPr="0021049A">
              <w:rPr>
                <w:b/>
                <w:bCs/>
              </w:rPr>
              <w:t>evakuointisuunnittelu</w:t>
            </w:r>
            <w:r w:rsidRPr="0021049A">
              <w:rPr>
                <w:b/>
                <w:bCs/>
              </w:rPr>
              <w:t xml:space="preserve"> </w:t>
            </w:r>
          </w:p>
          <w:p w14:paraId="077386CA" w14:textId="77777777" w:rsidR="00EF4402" w:rsidRPr="0021049A" w:rsidRDefault="00EF4402"/>
        </w:tc>
        <w:tc>
          <w:tcPr>
            <w:tcW w:w="5981" w:type="dxa"/>
            <w:hideMark/>
          </w:tcPr>
          <w:p w14:paraId="760697CC" w14:textId="659920CF" w:rsidR="00EF4402" w:rsidRPr="0021049A" w:rsidRDefault="00854C70" w:rsidP="00EF4402">
            <w:r w:rsidRPr="0021049A">
              <w:t xml:space="preserve">Hyvinvointialueen valmius- ja evakuointisuunnittelussa </w:t>
            </w:r>
            <w:r w:rsidR="00EF4402" w:rsidRPr="0021049A">
              <w:t>otetaan huomioon yhteensopivuus alueen</w:t>
            </w:r>
            <w:r w:rsidR="00EF4402" w:rsidRPr="0021049A">
              <w:rPr>
                <w:strike/>
              </w:rPr>
              <w:t>sa</w:t>
            </w:r>
            <w:r w:rsidR="00EF4402" w:rsidRPr="0021049A">
              <w:t xml:space="preserve"> kuntien </w:t>
            </w:r>
            <w:r w:rsidRPr="0021049A">
              <w:t>toimintaan</w:t>
            </w:r>
            <w:r w:rsidR="00EF4402" w:rsidRPr="0021049A">
              <w:t>.</w:t>
            </w:r>
            <w:r w:rsidRPr="0021049A">
              <w:t xml:space="preserve"> Hyvinvointialueen ja kun</w:t>
            </w:r>
            <w:r w:rsidR="001C2B00" w:rsidRPr="0021049A">
              <w:t>nan</w:t>
            </w:r>
            <w:r w:rsidRPr="0021049A">
              <w:t xml:space="preserve"> yhteistyö suunnitelmien laadinnassa on välttämätöntä.</w:t>
            </w:r>
          </w:p>
        </w:tc>
      </w:tr>
      <w:tr w:rsidR="0021049A" w:rsidRPr="0021049A" w14:paraId="4DFC684A" w14:textId="77777777" w:rsidTr="00B3631E">
        <w:trPr>
          <w:trHeight w:val="1860"/>
        </w:trPr>
        <w:tc>
          <w:tcPr>
            <w:tcW w:w="3647" w:type="dxa"/>
            <w:noWrap/>
            <w:hideMark/>
          </w:tcPr>
          <w:p w14:paraId="40D79CDE" w14:textId="12E35DFD" w:rsidR="00EF4402" w:rsidRPr="0021049A" w:rsidRDefault="00EF4402">
            <w:r w:rsidRPr="00210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CE16FDF" wp14:editId="3242FEC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6350" cy="6350"/>
                      <wp:effectExtent l="0" t="0" r="0" b="0"/>
                      <wp:wrapNone/>
                      <wp:docPr id="2045315597" name="Vapaamuotoinen: Muoto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777868-B294-61E3-8EF0-F4A39AE573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8E7EB" id="Vapaamuotoinen: Muoto 33" o:spid="_x0000_s1026" style="position:absolute;margin-left:.5pt;margin-top:.5pt;width:.5pt;height: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" path="m,6108r6109,l6109,,,,,6108xe" fillcolor="black" stroked="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A22CB3" w:rsidRPr="0021049A">
              <w:rPr>
                <w:b/>
                <w:bCs/>
              </w:rPr>
              <w:t>Yleinen neuvonta</w:t>
            </w:r>
          </w:p>
        </w:tc>
        <w:tc>
          <w:tcPr>
            <w:tcW w:w="5981" w:type="dxa"/>
            <w:hideMark/>
          </w:tcPr>
          <w:p w14:paraId="2AA9C522" w14:textId="65B0FF42" w:rsidR="00EF4402" w:rsidRPr="0021049A" w:rsidRDefault="00EF4402" w:rsidP="00EF4402">
            <w:r w:rsidRPr="0021049A">
              <w:t xml:space="preserve">Yleisellä </w:t>
            </w:r>
            <w:r w:rsidR="001C2B00" w:rsidRPr="0021049A">
              <w:t xml:space="preserve">neuvonnalla </w:t>
            </w:r>
            <w:r w:rsidRPr="0021049A">
              <w:t>hyvinvointialue vastaa</w:t>
            </w:r>
            <w:r w:rsidR="00C61DCB" w:rsidRPr="0021049A">
              <w:t xml:space="preserve"> </w:t>
            </w:r>
            <w:r w:rsidRPr="0021049A">
              <w:t>valmiussuunnitteluun liittyviin kuntien ja sen asukkaiden kysymyksiin koskien mm. väestönsuojia, valmius- ja pelastussuunnitelmia, väestön varoittamista, omatoimista varautumista ja väestönsuojelua</w:t>
            </w:r>
            <w:r w:rsidR="00FF3D70" w:rsidRPr="0021049A">
              <w:t>.</w:t>
            </w:r>
          </w:p>
        </w:tc>
      </w:tr>
      <w:tr w:rsidR="0021049A" w:rsidRPr="0021049A" w14:paraId="0E6F3095" w14:textId="77777777" w:rsidTr="00B3631E">
        <w:trPr>
          <w:trHeight w:val="2140"/>
        </w:trPr>
        <w:tc>
          <w:tcPr>
            <w:tcW w:w="3647" w:type="dxa"/>
            <w:noWrap/>
            <w:hideMark/>
          </w:tcPr>
          <w:p w14:paraId="2F561B3C" w14:textId="2D23AB67" w:rsidR="00EF4402" w:rsidRPr="0021049A" w:rsidRDefault="00EF4402">
            <w:r w:rsidRPr="00210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F8D9B39" wp14:editId="62C7DDE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741074376" name="Vapaamuotoinen: Muoto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35E0E9-CFE5-CAAF-8D58-9FE602B58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39085" id="Vapaamuotoinen: Muoto 32" o:spid="_x0000_s1026" style="position:absolute;margin-left:.5pt;margin-top:1pt;width:.5pt;height: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" path="m,6096r6109,l6109,,,,,6096xe" fillcolor="black" stroked="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A22CB3" w:rsidRPr="0021049A">
              <w:rPr>
                <w:b/>
                <w:bCs/>
              </w:rPr>
              <w:t>Viranomaisyhteistyön edistäminen</w:t>
            </w:r>
            <w:r w:rsidR="001C2B00" w:rsidRPr="0021049A">
              <w:rPr>
                <w:b/>
                <w:bCs/>
              </w:rPr>
              <w:t xml:space="preserve"> väestönsuojelussa </w:t>
            </w:r>
          </w:p>
        </w:tc>
        <w:tc>
          <w:tcPr>
            <w:tcW w:w="5981" w:type="dxa"/>
            <w:hideMark/>
          </w:tcPr>
          <w:p w14:paraId="3B7F562A" w14:textId="2859936C" w:rsidR="00FF3D70" w:rsidRPr="0021049A" w:rsidRDefault="00EF4402" w:rsidP="00EF4402">
            <w:pPr>
              <w:spacing w:after="160" w:line="259" w:lineRule="auto"/>
            </w:pPr>
            <w:r w:rsidRPr="0021049A">
              <w:t xml:space="preserve">Pelastustoimi </w:t>
            </w:r>
            <w:r w:rsidR="001C2B00" w:rsidRPr="0021049A">
              <w:t xml:space="preserve">edistää yhteistyötä kuntien ja muiden toimijoiden </w:t>
            </w:r>
            <w:r w:rsidR="006954AE" w:rsidRPr="0021049A">
              <w:t>kanssa väestönsuojelun kysymyksissä.</w:t>
            </w:r>
          </w:p>
          <w:p w14:paraId="155F91F5" w14:textId="0F7967C2" w:rsidR="00EF4402" w:rsidRPr="0021049A" w:rsidRDefault="00EF4402" w:rsidP="00EF4402">
            <w:r w:rsidRPr="0021049A">
              <w:t>Yhteistyön edistämisellä kehitetään kuntien</w:t>
            </w:r>
            <w:r w:rsidR="006954AE" w:rsidRPr="0021049A">
              <w:t>,</w:t>
            </w:r>
            <w:r w:rsidRPr="0021049A">
              <w:t xml:space="preserve"> </w:t>
            </w:r>
            <w:r w:rsidR="006954AE" w:rsidRPr="0021049A">
              <w:t xml:space="preserve">muiden </w:t>
            </w:r>
            <w:r w:rsidRPr="0021049A">
              <w:t xml:space="preserve">viranomaisten </w:t>
            </w:r>
            <w:r w:rsidR="006954AE" w:rsidRPr="0021049A">
              <w:t xml:space="preserve">sekä muiden toimijoiden </w:t>
            </w:r>
            <w:r w:rsidRPr="0021049A">
              <w:t xml:space="preserve">tuntemusta eri toimijoiden tehtävistä sekä vastuista ja syvennetään organisaatioiden välistä yhteistyötä. </w:t>
            </w:r>
          </w:p>
        </w:tc>
      </w:tr>
      <w:tr w:rsidR="0021049A" w:rsidRPr="0021049A" w14:paraId="1ECEB714" w14:textId="77777777" w:rsidTr="00B3631E">
        <w:trPr>
          <w:trHeight w:val="1570"/>
        </w:trPr>
        <w:tc>
          <w:tcPr>
            <w:tcW w:w="3647" w:type="dxa"/>
            <w:noWrap/>
            <w:hideMark/>
          </w:tcPr>
          <w:p w14:paraId="7CD2CBBA" w14:textId="6508BA99" w:rsidR="00EF4402" w:rsidRPr="0021049A" w:rsidRDefault="00EF4402">
            <w:r w:rsidRPr="00210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688B20C" wp14:editId="38DBB5F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6350" cy="6350"/>
                      <wp:effectExtent l="0" t="0" r="0" b="0"/>
                      <wp:wrapNone/>
                      <wp:docPr id="1420553629" name="Vapaamuotoinen: Muoto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22981-1484-0723-6125-F7C3A4612A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37495" id="Vapaamuotoinen: Muoto 31" o:spid="_x0000_s1026" style="position:absolute;margin-left:.5pt;margin-top:.5pt;width:.5pt;height: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" path="m,6096r6109,l6109,,,,,6096xe" fillcolor="black" stroked="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210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23561E" wp14:editId="465FE93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6350" cy="6350"/>
                      <wp:effectExtent l="0" t="0" r="0" b="0"/>
                      <wp:wrapNone/>
                      <wp:docPr id="683881091" name="Vapaamuotoinen: Muoto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D84E95-68A4-F27F-2F8F-BF14268EBB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7B204" id="Vapaamuotoinen: Muoto 30" o:spid="_x0000_s1026" style="position:absolute;margin-left:.5pt;margin-top:.5pt;width:.5pt;height: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" path="m,6096r6109,l6109,,,,,6096xe" fillcolor="black" stroked="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A22CB3" w:rsidRPr="0021049A">
              <w:rPr>
                <w:b/>
                <w:bCs/>
              </w:rPr>
              <w:t>Harjoitukset</w:t>
            </w:r>
          </w:p>
        </w:tc>
        <w:tc>
          <w:tcPr>
            <w:tcW w:w="5981" w:type="dxa"/>
            <w:hideMark/>
          </w:tcPr>
          <w:p w14:paraId="3DDE9389" w14:textId="3F8E48EE" w:rsidR="00EF4402" w:rsidRPr="0021049A" w:rsidRDefault="00854C70" w:rsidP="00EF4402">
            <w:r w:rsidRPr="0021049A">
              <w:t xml:space="preserve">Hyvinvointialue ja kunnat suunnittelevat ja toteuttavat yhteisiä harjoituksia. </w:t>
            </w:r>
            <w:r w:rsidR="00EF4402" w:rsidRPr="0021049A">
              <w:t>Hyvinvointialue edistää myös kuntien osallisuutta valtakunnallisissa sekä alueellisissa harjoituksissa (mm. valmius- ja paikallispuolustusharjoitukset).</w:t>
            </w:r>
          </w:p>
        </w:tc>
      </w:tr>
      <w:tr w:rsidR="0021049A" w:rsidRPr="0021049A" w14:paraId="598DF8C3" w14:textId="77777777" w:rsidTr="00B3631E">
        <w:trPr>
          <w:trHeight w:val="699"/>
        </w:trPr>
        <w:tc>
          <w:tcPr>
            <w:tcW w:w="3647" w:type="dxa"/>
            <w:noWrap/>
          </w:tcPr>
          <w:p w14:paraId="3F175D52" w14:textId="5D6CD447" w:rsidR="009D7522" w:rsidRPr="0021049A" w:rsidRDefault="009D7522">
            <w:pPr>
              <w:rPr>
                <w:b/>
                <w:bCs/>
                <w:noProof/>
              </w:rPr>
            </w:pPr>
            <w:r w:rsidRPr="0021049A">
              <w:rPr>
                <w:b/>
                <w:bCs/>
                <w:noProof/>
              </w:rPr>
              <w:t>Kuntien tilojen, tukipalvelujen ja muiden resurssien hyödyntäminen tilanteissa, joissa väestöä siirretään</w:t>
            </w:r>
          </w:p>
        </w:tc>
        <w:tc>
          <w:tcPr>
            <w:tcW w:w="5981" w:type="dxa"/>
          </w:tcPr>
          <w:p w14:paraId="7E63E67B" w14:textId="25E9452A" w:rsidR="009D7522" w:rsidRPr="0021049A" w:rsidRDefault="009D7522" w:rsidP="00EF4402">
            <w:r w:rsidRPr="0021049A">
              <w:t>Hyvinvointialue ja kunnat sopivat kuntien tilojen, ruokapalvelun ja muiden tukipalveluiden, henkilöstön ja muiden resurssien käytöstä sekä ulkoisesta viestinnästä tilanteissa, joissa väestöä siirretään.</w:t>
            </w:r>
          </w:p>
        </w:tc>
      </w:tr>
      <w:tr w:rsidR="0021049A" w:rsidRPr="0021049A" w14:paraId="0851620E" w14:textId="77777777" w:rsidTr="00B3631E">
        <w:trPr>
          <w:trHeight w:val="2450"/>
        </w:trPr>
        <w:tc>
          <w:tcPr>
            <w:tcW w:w="3647" w:type="dxa"/>
            <w:noWrap/>
            <w:hideMark/>
          </w:tcPr>
          <w:p w14:paraId="6D8A9C57" w14:textId="22EE02AD" w:rsidR="00EF4402" w:rsidRPr="0021049A" w:rsidRDefault="00EF4402">
            <w:r w:rsidRPr="0021049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B2B4DD3" wp14:editId="3699D43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69188355" name="Vapaamuotoinen: Muoto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D6E14F-A676-4F17-52E5-EF2E57A50E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F1F3E" id="Vapaamuotoinen: Muoto 25" o:spid="_x0000_s1026" style="position:absolute;margin-left:.5pt;margin-top:0;width:.5pt;height: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" path="m,6096r6109,l6109,,,,,6096xe" fillcolor="black" stroked="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A22CB3" w:rsidRPr="0021049A">
              <w:rPr>
                <w:b/>
                <w:bCs/>
              </w:rPr>
              <w:t xml:space="preserve">Hyvinvointialueen ja kunnan yhteistyö  </w:t>
            </w:r>
          </w:p>
        </w:tc>
        <w:tc>
          <w:tcPr>
            <w:tcW w:w="5981" w:type="dxa"/>
            <w:hideMark/>
          </w:tcPr>
          <w:p w14:paraId="799C9D74" w14:textId="6247082A" w:rsidR="00EF4402" w:rsidRPr="0021049A" w:rsidRDefault="00EF4402" w:rsidP="00EF4402">
            <w:r w:rsidRPr="0021049A">
              <w:t xml:space="preserve">Hyvinvointialueen ja kunnan on neuvoteltava vähintään valtuustokausittain tehtäviensä hoitamiseen liittyvästä yhteistyöstä, tavoitteista ja työnjaosta. Neuvottelussa voidaan sopia ainakin yhteistyön edellyttämistä yhteistoimintarakenteista, toimintamalleista sekä yhteistyön edellyttämästä tiedonkulusta. (Hyvinvointialuelaki 14 §). </w:t>
            </w:r>
            <w:r w:rsidR="00F45784" w:rsidRPr="0021049A">
              <w:br/>
            </w:r>
            <w:r w:rsidR="00F45784" w:rsidRPr="0021049A">
              <w:br/>
            </w:r>
            <w:r w:rsidRPr="0021049A">
              <w:t>Neuvotteluissa yhtenä osa-alueena on syytä varmistaa myös pelastustoimintaan ja väestönsuojeluun liittyvän varautumisen toteutuminen.</w:t>
            </w:r>
          </w:p>
        </w:tc>
      </w:tr>
      <w:tr w:rsidR="0021049A" w:rsidRPr="0021049A" w14:paraId="62B63F5A" w14:textId="77777777" w:rsidTr="00B3631E">
        <w:trPr>
          <w:trHeight w:val="2450"/>
        </w:trPr>
        <w:tc>
          <w:tcPr>
            <w:tcW w:w="3647" w:type="dxa"/>
            <w:noWrap/>
          </w:tcPr>
          <w:p w14:paraId="56EE3BC3" w14:textId="67FF2A36" w:rsidR="00F6139F" w:rsidRPr="0021049A" w:rsidRDefault="00CE4C14">
            <w:pPr>
              <w:rPr>
                <w:b/>
                <w:bCs/>
                <w:noProof/>
              </w:rPr>
            </w:pPr>
            <w:r w:rsidRPr="0021049A">
              <w:rPr>
                <w:b/>
                <w:bCs/>
                <w:noProof/>
              </w:rPr>
              <w:t xml:space="preserve">Tiedottamisen, viestinnän ja </w:t>
            </w:r>
            <w:r w:rsidR="00A14AE9" w:rsidRPr="0021049A">
              <w:rPr>
                <w:b/>
                <w:bCs/>
                <w:noProof/>
              </w:rPr>
              <w:t>k</w:t>
            </w:r>
            <w:r w:rsidR="009B4295" w:rsidRPr="0021049A">
              <w:rPr>
                <w:b/>
                <w:bCs/>
                <w:noProof/>
              </w:rPr>
              <w:t>riisiviestinnän järjestelyt</w:t>
            </w:r>
          </w:p>
        </w:tc>
        <w:tc>
          <w:tcPr>
            <w:tcW w:w="5981" w:type="dxa"/>
          </w:tcPr>
          <w:p w14:paraId="0C7795B0" w14:textId="2EE50750" w:rsidR="00F6139F" w:rsidRPr="0021049A" w:rsidRDefault="001B7154" w:rsidP="00EF4402">
            <w:r w:rsidRPr="0021049A">
              <w:t xml:space="preserve">Hyvinvointialue ja kunta sopivat </w:t>
            </w:r>
            <w:r w:rsidR="0073430A" w:rsidRPr="0021049A">
              <w:t xml:space="preserve">eri turvallisuustilanteiden aikaisen </w:t>
            </w:r>
            <w:r w:rsidR="00A14AE9" w:rsidRPr="0021049A">
              <w:t>tiedottamisen, viestinnän ja kriisiviestinnän järjestely</w:t>
            </w:r>
            <w:r w:rsidR="0073430A" w:rsidRPr="0021049A">
              <w:t>jen periaatteista ja käytänteistä.</w:t>
            </w:r>
          </w:p>
        </w:tc>
      </w:tr>
      <w:tr w:rsidR="00EF4402" w:rsidRPr="0021049A" w14:paraId="320F3398" w14:textId="77777777" w:rsidTr="00B3631E">
        <w:trPr>
          <w:trHeight w:val="1270"/>
        </w:trPr>
        <w:tc>
          <w:tcPr>
            <w:tcW w:w="3647" w:type="dxa"/>
            <w:noWrap/>
            <w:hideMark/>
          </w:tcPr>
          <w:p w14:paraId="516157FD" w14:textId="31F877B1" w:rsidR="005D2BBD" w:rsidRPr="0021049A" w:rsidRDefault="00EF4402">
            <w:pPr>
              <w:rPr>
                <w:b/>
                <w:bCs/>
                <w:strike/>
              </w:rPr>
            </w:pPr>
            <w:r w:rsidRPr="0021049A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55996D" wp14:editId="5A2989A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6350" cy="6350"/>
                      <wp:effectExtent l="0" t="0" r="0" b="0"/>
                      <wp:wrapNone/>
                      <wp:docPr id="378744602" name="Vapaamuotoinen: Muoto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B1298D-2BDF-D513-B988-E5E6AE03A7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69F5D" id="Vapaamuotoinen: Muoto 24" o:spid="_x0000_s1026" style="position:absolute;margin-left:.5pt;margin-top:.5pt;width:.5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" path="m,6096r6109,l6109,,,,,6096xe" fillcolor="black" stroked="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5D2BBD" w:rsidRPr="0021049A">
              <w:rPr>
                <w:b/>
                <w:bCs/>
              </w:rPr>
              <w:t>Väestönsuojelusuunnitelmat</w:t>
            </w:r>
          </w:p>
        </w:tc>
        <w:tc>
          <w:tcPr>
            <w:tcW w:w="5981" w:type="dxa"/>
            <w:hideMark/>
          </w:tcPr>
          <w:p w14:paraId="1E796472" w14:textId="4417F6B1" w:rsidR="00EF4402" w:rsidRPr="0021049A" w:rsidRDefault="00EF4402" w:rsidP="00EF4402">
            <w:r w:rsidRPr="0021049A">
              <w:t xml:space="preserve">Väestönsuojelusuunnitelmat laaditaan pelastustoimen johdolla ja yhdessä eri toimijoiden kesken. Väestönsuojelusuunnitelmista </w:t>
            </w:r>
            <w:r w:rsidR="005D2BBD" w:rsidRPr="0021049A">
              <w:t xml:space="preserve">laaditaan </w:t>
            </w:r>
            <w:r w:rsidRPr="0021049A">
              <w:t xml:space="preserve">erillinen liite, joka on </w:t>
            </w:r>
            <w:proofErr w:type="spellStart"/>
            <w:r w:rsidRPr="0021049A">
              <w:t>salassapidettävä</w:t>
            </w:r>
            <w:proofErr w:type="spellEnd"/>
            <w:r w:rsidRPr="0021049A">
              <w:t xml:space="preserve"> (</w:t>
            </w:r>
            <w:proofErr w:type="spellStart"/>
            <w:r w:rsidRPr="0021049A">
              <w:t>JulkL</w:t>
            </w:r>
            <w:proofErr w:type="spellEnd"/>
            <w:r w:rsidRPr="0021049A">
              <w:t xml:space="preserve"> 24.1 § kohta 8.)</w:t>
            </w:r>
            <w:r w:rsidR="009D5B0F" w:rsidRPr="0021049A">
              <w:t xml:space="preserve"> </w:t>
            </w:r>
          </w:p>
        </w:tc>
      </w:tr>
    </w:tbl>
    <w:p w14:paraId="0DBC8CA5" w14:textId="407943DB" w:rsidR="009D5B0F" w:rsidRDefault="009D5B0F" w:rsidP="00EA7E46">
      <w:pPr>
        <w:spacing w:line="360" w:lineRule="auto"/>
        <w:rPr>
          <w:rFonts w:ascii="Work Sans" w:hAnsi="Work Sans" w:cstheme="minorHAnsi"/>
          <w:shd w:val="clear" w:color="auto" w:fill="FFFFFF"/>
        </w:rPr>
      </w:pPr>
    </w:p>
    <w:p w14:paraId="1511EA73" w14:textId="1512C316" w:rsidR="00286822" w:rsidRDefault="00286822" w:rsidP="00EA7E46">
      <w:pPr>
        <w:spacing w:line="360" w:lineRule="auto"/>
        <w:rPr>
          <w:rFonts w:ascii="Work Sans" w:hAnsi="Work Sans" w:cstheme="minorHAnsi"/>
          <w:shd w:val="clear" w:color="auto" w:fill="FFFFFF"/>
        </w:rPr>
      </w:pPr>
      <w:r>
        <w:rPr>
          <w:rFonts w:ascii="Work Sans" w:hAnsi="Work Sans" w:cstheme="minorHAnsi"/>
          <w:shd w:val="clear" w:color="auto" w:fill="FFFFFF"/>
        </w:rPr>
        <w:t>Liite</w:t>
      </w:r>
      <w:r w:rsidR="006B381F">
        <w:rPr>
          <w:rFonts w:ascii="Work Sans" w:hAnsi="Work Sans" w:cstheme="minorHAnsi"/>
          <w:shd w:val="clear" w:color="auto" w:fill="FFFFFF"/>
        </w:rPr>
        <w:t>:</w:t>
      </w:r>
      <w:r w:rsidR="00211645">
        <w:rPr>
          <w:rFonts w:ascii="Work Sans" w:hAnsi="Work Sans" w:cstheme="minorHAnsi"/>
          <w:shd w:val="clear" w:color="auto" w:fill="FFFFFF"/>
        </w:rPr>
        <w:t xml:space="preserve"> </w:t>
      </w:r>
      <w:r w:rsidR="006B381F">
        <w:rPr>
          <w:rFonts w:ascii="Work Sans" w:hAnsi="Work Sans" w:cstheme="minorHAnsi"/>
          <w:shd w:val="clear" w:color="auto" w:fill="FFFFFF"/>
        </w:rPr>
        <w:t>V</w:t>
      </w:r>
      <w:r w:rsidR="00211645">
        <w:rPr>
          <w:rFonts w:ascii="Work Sans" w:hAnsi="Work Sans" w:cstheme="minorHAnsi"/>
          <w:shd w:val="clear" w:color="auto" w:fill="FFFFFF"/>
        </w:rPr>
        <w:t>äestönsuojelua</w:t>
      </w:r>
      <w:r w:rsidR="006B381F">
        <w:rPr>
          <w:rFonts w:ascii="Work Sans" w:hAnsi="Work Sans" w:cstheme="minorHAnsi"/>
          <w:shd w:val="clear" w:color="auto" w:fill="FFFFFF"/>
        </w:rPr>
        <w:t xml:space="preserve"> ja tilanpäistä majoittamista</w:t>
      </w:r>
      <w:r w:rsidR="00211645">
        <w:rPr>
          <w:rFonts w:ascii="Work Sans" w:hAnsi="Work Sans" w:cstheme="minorHAnsi"/>
          <w:shd w:val="clear" w:color="auto" w:fill="FFFFFF"/>
        </w:rPr>
        <w:t xml:space="preserve"> koskeva lainsäädäntö:</w:t>
      </w:r>
      <w:r>
        <w:rPr>
          <w:rFonts w:ascii="Work Sans" w:hAnsi="Work Sans" w:cstheme="minorHAnsi"/>
          <w:shd w:val="clear" w:color="auto" w:fill="FFFFFF"/>
        </w:rPr>
        <w:t xml:space="preserve"> </w:t>
      </w:r>
      <w:hyperlink r:id="rId7" w:history="1">
        <w:r w:rsidR="006B381F" w:rsidRPr="006C55F9">
          <w:rPr>
            <w:rStyle w:val="Hyperlinkki"/>
            <w:rFonts w:ascii="Work Sans" w:hAnsi="Work Sans" w:cstheme="minorHAnsi"/>
            <w:shd w:val="clear" w:color="auto" w:fill="FFFFFF"/>
          </w:rPr>
          <w:t>https://www.kuntaliitto.fi/varautuminen-ja-turvallisuus/#vaestonsiirtojamajoitus</w:t>
        </w:r>
      </w:hyperlink>
    </w:p>
    <w:p w14:paraId="7AEE79FC" w14:textId="3C18FB7D" w:rsidR="006B381F" w:rsidRPr="00F11850" w:rsidRDefault="006B381F" w:rsidP="00EA7E46">
      <w:pPr>
        <w:spacing w:line="360" w:lineRule="auto"/>
        <w:rPr>
          <w:rFonts w:ascii="Work Sans" w:hAnsi="Work Sans" w:cstheme="minorHAnsi"/>
          <w:shd w:val="clear" w:color="auto" w:fill="FFFFFF"/>
        </w:rPr>
      </w:pPr>
    </w:p>
    <w:sectPr w:rsidR="006B381F" w:rsidRPr="00F118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432B" w14:textId="77777777" w:rsidR="004B2165" w:rsidRDefault="004B2165" w:rsidP="00A22CB3">
      <w:pPr>
        <w:spacing w:after="0" w:line="240" w:lineRule="auto"/>
      </w:pPr>
      <w:r>
        <w:separator/>
      </w:r>
    </w:p>
  </w:endnote>
  <w:endnote w:type="continuationSeparator" w:id="0">
    <w:p w14:paraId="4116554F" w14:textId="77777777" w:rsidR="004B2165" w:rsidRDefault="004B2165" w:rsidP="00A2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F4AE" w14:textId="77777777" w:rsidR="004B2165" w:rsidRDefault="004B2165" w:rsidP="00A22CB3">
      <w:pPr>
        <w:spacing w:after="0" w:line="240" w:lineRule="auto"/>
      </w:pPr>
      <w:r>
        <w:separator/>
      </w:r>
    </w:p>
  </w:footnote>
  <w:footnote w:type="continuationSeparator" w:id="0">
    <w:p w14:paraId="2031DE33" w14:textId="77777777" w:rsidR="004B2165" w:rsidRDefault="004B2165" w:rsidP="00A22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F57"/>
    <w:multiLevelType w:val="hybridMultilevel"/>
    <w:tmpl w:val="0B8E95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9A4"/>
    <w:multiLevelType w:val="hybridMultilevel"/>
    <w:tmpl w:val="EEF24E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113C"/>
    <w:multiLevelType w:val="hybridMultilevel"/>
    <w:tmpl w:val="3418D2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09642">
    <w:abstractNumId w:val="2"/>
  </w:num>
  <w:num w:numId="2" w16cid:durableId="1123309066">
    <w:abstractNumId w:val="0"/>
  </w:num>
  <w:num w:numId="3" w16cid:durableId="89084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02"/>
    <w:rsid w:val="00031AA3"/>
    <w:rsid w:val="00045812"/>
    <w:rsid w:val="00086655"/>
    <w:rsid w:val="000B5CC0"/>
    <w:rsid w:val="00164A4C"/>
    <w:rsid w:val="00174395"/>
    <w:rsid w:val="001A654B"/>
    <w:rsid w:val="001B7154"/>
    <w:rsid w:val="001C2B00"/>
    <w:rsid w:val="0021049A"/>
    <w:rsid w:val="00211645"/>
    <w:rsid w:val="00286822"/>
    <w:rsid w:val="003212AA"/>
    <w:rsid w:val="00321BB9"/>
    <w:rsid w:val="00350D5F"/>
    <w:rsid w:val="003A1499"/>
    <w:rsid w:val="003D6C03"/>
    <w:rsid w:val="00411837"/>
    <w:rsid w:val="00497BE8"/>
    <w:rsid w:val="004B2165"/>
    <w:rsid w:val="004C13D9"/>
    <w:rsid w:val="00525BC1"/>
    <w:rsid w:val="00561B64"/>
    <w:rsid w:val="005D2BBD"/>
    <w:rsid w:val="005E6E45"/>
    <w:rsid w:val="006954AE"/>
    <w:rsid w:val="006B381F"/>
    <w:rsid w:val="0073430A"/>
    <w:rsid w:val="007357ED"/>
    <w:rsid w:val="0082393C"/>
    <w:rsid w:val="00852B11"/>
    <w:rsid w:val="00854684"/>
    <w:rsid w:val="00854C70"/>
    <w:rsid w:val="008A2A96"/>
    <w:rsid w:val="00901D08"/>
    <w:rsid w:val="009128F9"/>
    <w:rsid w:val="009246A5"/>
    <w:rsid w:val="009803F7"/>
    <w:rsid w:val="00983450"/>
    <w:rsid w:val="009A3580"/>
    <w:rsid w:val="009B4295"/>
    <w:rsid w:val="009D5B0F"/>
    <w:rsid w:val="009D7522"/>
    <w:rsid w:val="00A14AE9"/>
    <w:rsid w:val="00A210DF"/>
    <w:rsid w:val="00A22CB3"/>
    <w:rsid w:val="00A27F36"/>
    <w:rsid w:val="00A80DB1"/>
    <w:rsid w:val="00AC27F3"/>
    <w:rsid w:val="00AF685B"/>
    <w:rsid w:val="00B27671"/>
    <w:rsid w:val="00B356C5"/>
    <w:rsid w:val="00B3631E"/>
    <w:rsid w:val="00B43E5D"/>
    <w:rsid w:val="00B61E45"/>
    <w:rsid w:val="00B7387F"/>
    <w:rsid w:val="00BD4ACB"/>
    <w:rsid w:val="00C232E5"/>
    <w:rsid w:val="00C23F7F"/>
    <w:rsid w:val="00C41B08"/>
    <w:rsid w:val="00C57385"/>
    <w:rsid w:val="00C61DCB"/>
    <w:rsid w:val="00C66E4A"/>
    <w:rsid w:val="00C72F57"/>
    <w:rsid w:val="00C770C2"/>
    <w:rsid w:val="00CE4C14"/>
    <w:rsid w:val="00CF5ED9"/>
    <w:rsid w:val="00D67566"/>
    <w:rsid w:val="00EA7E46"/>
    <w:rsid w:val="00EE4DDB"/>
    <w:rsid w:val="00EF4402"/>
    <w:rsid w:val="00F11850"/>
    <w:rsid w:val="00F30886"/>
    <w:rsid w:val="00F45784"/>
    <w:rsid w:val="00F6139F"/>
    <w:rsid w:val="00F756FF"/>
    <w:rsid w:val="00FB2BE0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59F"/>
  <w15:chartTrackingRefBased/>
  <w15:docId w15:val="{FB8DCE06-E347-47E4-A4A9-3A9C2E87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F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22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22CB3"/>
  </w:style>
  <w:style w:type="paragraph" w:styleId="Alatunniste">
    <w:name w:val="footer"/>
    <w:basedOn w:val="Normaali"/>
    <w:link w:val="AlatunnisteChar"/>
    <w:uiPriority w:val="99"/>
    <w:unhideWhenUsed/>
    <w:rsid w:val="00A22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22CB3"/>
  </w:style>
  <w:style w:type="paragraph" w:styleId="Luettelokappale">
    <w:name w:val="List Paragraph"/>
    <w:basedOn w:val="Normaali"/>
    <w:uiPriority w:val="34"/>
    <w:qFormat/>
    <w:rsid w:val="009D5B0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B381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B3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ntaliitto.fi/varautuminen-ja-turvallisuus/#vaestonsiirtojamajoi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757</Words>
  <Characters>6137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KL FCG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Ari</dc:creator>
  <cp:keywords/>
  <dc:description/>
  <cp:lastModifiedBy>Korhonen Ari</cp:lastModifiedBy>
  <cp:revision>19</cp:revision>
  <dcterms:created xsi:type="dcterms:W3CDTF">2024-04-29T20:28:00Z</dcterms:created>
  <dcterms:modified xsi:type="dcterms:W3CDTF">2024-05-21T05:09:00Z</dcterms:modified>
</cp:coreProperties>
</file>