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46" w:rsidRDefault="00F51E46">
      <w:pPr>
        <w:rPr>
          <w:rFonts w:asciiTheme="majorHAnsi" w:hAnsiTheme="majorHAnsi"/>
          <w:b/>
        </w:rPr>
      </w:pPr>
      <w:bookmarkStart w:id="0" w:name="_GoBack"/>
      <w:bookmarkEnd w:id="0"/>
    </w:p>
    <w:p w:rsidR="00556C46" w:rsidRPr="004E4214" w:rsidRDefault="00556C46" w:rsidP="009E7A2E">
      <w:pPr>
        <w:pStyle w:val="Leipteksti"/>
        <w:ind w:left="0"/>
        <w:rPr>
          <w:rFonts w:asciiTheme="majorHAnsi" w:hAnsiTheme="majorHAnsi"/>
          <w:b/>
        </w:rPr>
      </w:pPr>
      <w:r w:rsidRPr="004E4214">
        <w:rPr>
          <w:rFonts w:asciiTheme="majorHAnsi" w:hAnsiTheme="majorHAnsi"/>
          <w:b/>
        </w:rPr>
        <w:t>Taloudellisten vaikutusten arviointi</w:t>
      </w:r>
    </w:p>
    <w:p w:rsidR="00556C46" w:rsidRPr="004E4214" w:rsidRDefault="00F157BD" w:rsidP="009E7A2E">
      <w:pPr>
        <w:shd w:val="clear" w:color="auto" w:fill="FFFFFF"/>
        <w:ind w:left="1304"/>
        <w:textAlignment w:val="baseline"/>
        <w:rPr>
          <w:rFonts w:asciiTheme="majorHAnsi" w:hAnsiTheme="majorHAnsi" w:cstheme="minorBidi"/>
        </w:rPr>
      </w:pPr>
      <w:r>
        <w:rPr>
          <w:rFonts w:asciiTheme="majorHAnsi" w:hAnsiTheme="majorHAnsi" w:cstheme="minorBidi"/>
        </w:rPr>
        <w:t xml:space="preserve">Esityksessä on </w:t>
      </w:r>
      <w:r w:rsidR="00556C46" w:rsidRPr="004E4214">
        <w:rPr>
          <w:rFonts w:asciiTheme="majorHAnsi" w:hAnsiTheme="majorHAnsi" w:cstheme="minorBidi"/>
        </w:rPr>
        <w:t xml:space="preserve">taulukko arvioiduista kustannusvaikutuksista. </w:t>
      </w:r>
    </w:p>
    <w:p w:rsidR="00556C46" w:rsidRPr="004E4214" w:rsidRDefault="00556C46" w:rsidP="009E7A2E">
      <w:pPr>
        <w:shd w:val="clear" w:color="auto" w:fill="FFFFFF"/>
        <w:ind w:left="1304"/>
        <w:textAlignment w:val="baseline"/>
        <w:rPr>
          <w:rFonts w:asciiTheme="majorHAnsi" w:hAnsiTheme="majorHAnsi" w:cstheme="minorBidi"/>
        </w:rPr>
      </w:pPr>
    </w:p>
    <w:p w:rsidR="00556C46" w:rsidRPr="004E4214" w:rsidRDefault="00556C46" w:rsidP="00DE40BF">
      <w:pPr>
        <w:shd w:val="clear" w:color="auto" w:fill="FFFFFF"/>
        <w:ind w:left="2608"/>
        <w:textAlignment w:val="baseline"/>
        <w:rPr>
          <w:rFonts w:asciiTheme="majorHAnsi" w:hAnsiTheme="majorHAnsi" w:cstheme="minorBidi"/>
        </w:rPr>
      </w:pPr>
      <w:r w:rsidRPr="004E4214">
        <w:rPr>
          <w:rFonts w:asciiTheme="majorHAnsi" w:hAnsiTheme="majorHAnsi" w:cstheme="minorBidi"/>
        </w:rPr>
        <w:t xml:space="preserve">Kuntaliitto pitää hyvänä sitä, että taloudelliset vaikutukset on koottu taulukkomuotoon. Muistion liitteenä on taulukko, jossa on vertailu Kuntaliiton ja opetus- ja kulttuuriministeriön tekemien laskelmien välillä. </w:t>
      </w:r>
    </w:p>
    <w:p w:rsidR="00556C46" w:rsidRPr="004E4214" w:rsidRDefault="00556C46" w:rsidP="009E7A2E">
      <w:pPr>
        <w:ind w:left="1304"/>
        <w:rPr>
          <w:rFonts w:asciiTheme="majorHAnsi" w:hAnsiTheme="majorHAnsi" w:cs="Arial"/>
          <w:shd w:val="clear" w:color="auto" w:fill="FFFFFF"/>
        </w:rPr>
      </w:pPr>
    </w:p>
    <w:p w:rsidR="00556C46" w:rsidRPr="004E4214" w:rsidRDefault="00556C46" w:rsidP="009E7A2E">
      <w:pPr>
        <w:rPr>
          <w:rFonts w:asciiTheme="majorHAnsi" w:hAnsiTheme="majorHAnsi"/>
          <w:i/>
        </w:rPr>
      </w:pPr>
      <w:r w:rsidRPr="004E4214">
        <w:rPr>
          <w:rFonts w:asciiTheme="majorHAnsi" w:hAnsiTheme="majorHAnsi"/>
          <w:i/>
        </w:rPr>
        <w:t>Yhteen tutkinnon suorittamistapaan siirtyminen, tehtävien lisäys ja vähennys (OKM + 48 milj. €/Kuntaliitto +84 milj. €)</w:t>
      </w:r>
    </w:p>
    <w:p w:rsidR="00556C46" w:rsidRPr="004E4214" w:rsidRDefault="00556C46" w:rsidP="009E7A2E">
      <w:pPr>
        <w:ind w:left="1304"/>
        <w:rPr>
          <w:rFonts w:asciiTheme="majorHAnsi" w:hAnsiTheme="majorHAnsi"/>
          <w:i/>
        </w:rPr>
      </w:pPr>
    </w:p>
    <w:p w:rsidR="00556C46" w:rsidRPr="004E4214" w:rsidRDefault="00556C46" w:rsidP="009E7A2E">
      <w:pPr>
        <w:ind w:left="1304"/>
        <w:rPr>
          <w:rFonts w:asciiTheme="majorHAnsi" w:hAnsiTheme="majorHAnsi" w:cstheme="minorBidi"/>
        </w:rPr>
      </w:pPr>
      <w:r w:rsidRPr="004E4214">
        <w:rPr>
          <w:rFonts w:asciiTheme="majorHAnsi" w:hAnsiTheme="majorHAnsi"/>
        </w:rPr>
        <w:t xml:space="preserve">Kuntaliiton </w:t>
      </w:r>
      <w:r w:rsidRPr="004E4214">
        <w:rPr>
          <w:rFonts w:asciiTheme="majorHAnsi" w:hAnsiTheme="majorHAnsi" w:cstheme="minorBidi"/>
        </w:rPr>
        <w:t>käsityksen mukaan valmisteilla olevaan lainsäädäntöön sisältyy merkittäviä tehtävien ja velvoitteiden lisäyksiä.</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r w:rsidRPr="004E4214">
        <w:rPr>
          <w:rFonts w:asciiTheme="majorHAnsi" w:hAnsiTheme="majorHAnsi" w:cstheme="minorBidi"/>
        </w:rPr>
        <w:t>Kuntaliiton arvion mukaan lisääntyvät tehtävät aiheuttavat 84 milj. €:n nettolisäkustannukset kunnille ja koulutuksen järjestäjille. Opetus- ja kulttuuriministeriön vastaava arvio on 48 milj. €.</w:t>
      </w:r>
    </w:p>
    <w:p w:rsidR="00556C46" w:rsidRPr="004E4214" w:rsidRDefault="00556C46" w:rsidP="009E7A2E">
      <w:pPr>
        <w:ind w:left="1304"/>
        <w:rPr>
          <w:rFonts w:asciiTheme="majorHAnsi" w:hAnsiTheme="majorHAnsi" w:cstheme="minorBidi"/>
        </w:rPr>
      </w:pPr>
    </w:p>
    <w:p w:rsidR="00556C46" w:rsidRPr="004E4214" w:rsidRDefault="00556C46" w:rsidP="009E7A2E">
      <w:pPr>
        <w:rPr>
          <w:rFonts w:asciiTheme="majorHAnsi" w:hAnsiTheme="majorHAnsi" w:cstheme="minorBidi"/>
          <w:i/>
        </w:rPr>
      </w:pPr>
      <w:r w:rsidRPr="004E4214">
        <w:rPr>
          <w:rFonts w:asciiTheme="majorHAnsi" w:hAnsiTheme="majorHAnsi" w:cstheme="minorBidi"/>
          <w:i/>
        </w:rPr>
        <w:t>Osaamisen tunnustaminen ja siirtyminen tutkinnon osien suorittamiseen; koulutuspaikka leikkaus/volyymin pienentäminen OKM - 116 milj. €</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r w:rsidRPr="004E4214">
        <w:rPr>
          <w:rFonts w:asciiTheme="majorHAnsi" w:hAnsiTheme="majorHAnsi" w:cstheme="minorBidi"/>
        </w:rPr>
        <w:t>Esityksessä suurimmat rakenteelliset säästöt arvioidaan syntyvän toiminnan tehostumisesta, säätämällä osaamisen tunnustaminen koulutuksen järjestäjän velvollisuudeksi ja siirtymällä tutkintotavoitteisesta koulutuksesta tutkinnon osien suorittamiseen erityisesti niiden osalta, joilla on jo olemassa aikaisempi tutkinto.</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r w:rsidRPr="004E4214">
        <w:rPr>
          <w:rFonts w:asciiTheme="majorHAnsi" w:hAnsiTheme="majorHAnsi" w:cstheme="minorBidi"/>
        </w:rPr>
        <w:t xml:space="preserve">Kuntaliitto toteaa edelleen, että säästöt toteutuvat vain, jos koulutuksen järjestäjien opiskelijavolyymia vähennetään vuoden 2016 määrään verrattuna. Kuntaliiton arvion mukaan opiskelijavolyymia tulee vähentää noin 13 000 opiskelijatyöpäivällä arvioidun säästön saavuttamiseksi. </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r w:rsidRPr="004E4214">
        <w:rPr>
          <w:rFonts w:asciiTheme="majorHAnsi" w:hAnsiTheme="majorHAnsi" w:cstheme="minorBidi"/>
        </w:rPr>
        <w:t>Koska hallitusohjelman mukaiset säästöt toteutettiin jo vuoden 2017 alusta, ammatillisen koulutuksen määrärahaan ei tule volyymin vähennyksen/paikkaleikkauksen johdosta tehdä enää tulevina vuosina määrärahan leikkausta.</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r w:rsidRPr="004E4214">
        <w:rPr>
          <w:rFonts w:asciiTheme="majorHAnsi" w:hAnsiTheme="majorHAnsi" w:cstheme="minorBidi"/>
        </w:rPr>
        <w:t>Volyymin muutosta/paikkaleikkausta ei Kuntaliiton käsi</w:t>
      </w:r>
      <w:r w:rsidR="00F157BD">
        <w:rPr>
          <w:rFonts w:asciiTheme="majorHAnsi" w:hAnsiTheme="majorHAnsi" w:cstheme="minorBidi"/>
        </w:rPr>
        <w:t>tyksen mukaan esityksessä</w:t>
      </w:r>
      <w:r w:rsidRPr="004E4214">
        <w:rPr>
          <w:rFonts w:asciiTheme="majorHAnsi" w:hAnsiTheme="majorHAnsi" w:cstheme="minorBidi"/>
        </w:rPr>
        <w:t xml:space="preserve"> ole </w:t>
      </w:r>
      <w:r w:rsidR="00F157BD">
        <w:rPr>
          <w:rFonts w:asciiTheme="majorHAnsi" w:hAnsiTheme="majorHAnsi" w:cstheme="minorBidi"/>
        </w:rPr>
        <w:t xml:space="preserve">riittävän selkeästi </w:t>
      </w:r>
      <w:r w:rsidRPr="004E4214">
        <w:rPr>
          <w:rFonts w:asciiTheme="majorHAnsi" w:hAnsiTheme="majorHAnsi" w:cstheme="minorBidi"/>
        </w:rPr>
        <w:t>käsitelty. Kuntaliitto katsoo, että esityksessä tulee selkeästi kuvata toiminnan tehostumisesta aiheutuvien säästöjen vaikutukset opetus- ja kulttuuriministeriön vuosittain päättämiin koulutuksenjärjestäjien tavoitteellisiin opiskelijavuosien määrään (koulutuspaikkamääriin).</w:t>
      </w:r>
    </w:p>
    <w:p w:rsidR="00556C46" w:rsidRPr="004E4214" w:rsidRDefault="00556C46" w:rsidP="009E7A2E">
      <w:pPr>
        <w:ind w:left="1304"/>
        <w:rPr>
          <w:rFonts w:asciiTheme="majorHAnsi" w:hAnsiTheme="majorHAnsi" w:cstheme="minorBidi"/>
        </w:rPr>
      </w:pPr>
    </w:p>
    <w:p w:rsidR="00556C46" w:rsidRPr="004E4214" w:rsidRDefault="00556C46" w:rsidP="009E7A2E">
      <w:pPr>
        <w:ind w:left="1304"/>
        <w:rPr>
          <w:rFonts w:asciiTheme="majorHAnsi" w:hAnsiTheme="majorHAnsi" w:cstheme="minorBidi"/>
        </w:rPr>
      </w:pPr>
    </w:p>
    <w:p w:rsidR="00556C46" w:rsidRPr="004E4214" w:rsidRDefault="00556C46" w:rsidP="009E7A2E">
      <w:pPr>
        <w:pStyle w:val="Leipteksti"/>
        <w:ind w:left="0"/>
        <w:rPr>
          <w:rFonts w:asciiTheme="majorHAnsi" w:hAnsiTheme="majorHAnsi"/>
          <w:i/>
        </w:rPr>
      </w:pPr>
      <w:r w:rsidRPr="004E4214">
        <w:rPr>
          <w:rFonts w:asciiTheme="majorHAnsi" w:hAnsiTheme="majorHAnsi"/>
          <w:i/>
        </w:rPr>
        <w:t>Työpaikalla järjestettävän koulutuksen lisääntyminen (OKM -73 milj.€)</w:t>
      </w:r>
    </w:p>
    <w:p w:rsidR="00556C46" w:rsidRPr="004E4214" w:rsidRDefault="0060668C" w:rsidP="009E7A2E">
      <w:pPr>
        <w:pStyle w:val="Leipteksti"/>
        <w:rPr>
          <w:rFonts w:asciiTheme="majorHAnsi" w:hAnsiTheme="majorHAnsi"/>
        </w:rPr>
      </w:pPr>
      <w:r>
        <w:rPr>
          <w:rFonts w:asciiTheme="majorHAnsi" w:hAnsiTheme="majorHAnsi"/>
        </w:rPr>
        <w:t>Esity</w:t>
      </w:r>
      <w:r w:rsidR="00003F28">
        <w:rPr>
          <w:rFonts w:asciiTheme="majorHAnsi" w:hAnsiTheme="majorHAnsi"/>
        </w:rPr>
        <w:t>ksen</w:t>
      </w:r>
      <w:r w:rsidR="00556C46" w:rsidRPr="004E4214">
        <w:rPr>
          <w:rFonts w:asciiTheme="majorHAnsi" w:hAnsiTheme="majorHAnsi"/>
        </w:rPr>
        <w:t xml:space="preserve"> mukaan merkittävä osa kustannussäästöistä syntyisi työpaikalla järjestettävän koulutuksen lisääntymisen kautta eli dynaamisina kustannusvaikutuksina.   </w:t>
      </w:r>
    </w:p>
    <w:p w:rsidR="00556C46" w:rsidRPr="004E4214" w:rsidRDefault="00556C46" w:rsidP="009E7A2E">
      <w:pPr>
        <w:pStyle w:val="Leipteksti"/>
        <w:rPr>
          <w:rFonts w:asciiTheme="majorHAnsi" w:hAnsiTheme="majorHAnsi"/>
        </w:rPr>
      </w:pPr>
      <w:r w:rsidRPr="004E4214">
        <w:rPr>
          <w:rFonts w:asciiTheme="majorHAnsi" w:hAnsiTheme="majorHAnsi"/>
        </w:rPr>
        <w:t>Kuntaliiton käsityksen mukaan työ- ja elinkeinoelämä ei ole arvioidussa mittakaavassa valmis ottamaan vastuuta ammatillisen koulutuksen järjestämisestä ja rahoittamisesta. Er</w:t>
      </w:r>
      <w:r w:rsidR="00003F28">
        <w:rPr>
          <w:rFonts w:asciiTheme="majorHAnsi" w:hAnsiTheme="majorHAnsi"/>
        </w:rPr>
        <w:t>ityisesti kun esityksessä</w:t>
      </w:r>
      <w:r w:rsidRPr="004E4214">
        <w:rPr>
          <w:rFonts w:asciiTheme="majorHAnsi" w:hAnsiTheme="majorHAnsi"/>
        </w:rPr>
        <w:t xml:space="preserve"> ehdotetaan, että koulutussopimustyöpaikalle ei makseta korvausta koulutussopimukseen perustuvasta työpaikalla järjestettävästä koulutuksesta. </w:t>
      </w:r>
    </w:p>
    <w:p w:rsidR="00556C46" w:rsidRPr="004E4214" w:rsidRDefault="00556C46" w:rsidP="009E7A2E">
      <w:pPr>
        <w:ind w:left="1304"/>
        <w:rPr>
          <w:rFonts w:asciiTheme="majorHAnsi" w:hAnsiTheme="majorHAnsi" w:cstheme="minorBidi"/>
        </w:rPr>
      </w:pPr>
      <w:r w:rsidRPr="004E4214">
        <w:rPr>
          <w:rFonts w:asciiTheme="majorHAnsi" w:hAnsiTheme="majorHAnsi"/>
        </w:rPr>
        <w:t>Kuntaliitto kiinnittää huomiota siihen, että jo nykyisen lainsäädännön puitteissa on ollut</w:t>
      </w:r>
      <w:r w:rsidRPr="004E4214">
        <w:rPr>
          <w:rFonts w:asciiTheme="majorHAnsi" w:hAnsiTheme="majorHAnsi" w:cstheme="minorBidi"/>
        </w:rPr>
        <w:t xml:space="preserve"> mahdollista laajentaa työpaikalla tapahtuvaa oppimista, koska voimassa olevassa lainsäädännössä ei ole rajoitettu työpaikalla tapahtuvan opiskelun määrää.</w:t>
      </w:r>
    </w:p>
    <w:p w:rsidR="00556C46" w:rsidRPr="004E4214" w:rsidRDefault="00556C46" w:rsidP="009E7A2E">
      <w:pPr>
        <w:ind w:left="1304"/>
        <w:rPr>
          <w:rFonts w:asciiTheme="majorHAnsi" w:hAnsiTheme="majorHAnsi" w:cstheme="minorBidi"/>
        </w:rPr>
      </w:pPr>
    </w:p>
    <w:p w:rsidR="00556C46" w:rsidRPr="004E4214" w:rsidRDefault="00556C46" w:rsidP="009E7A2E">
      <w:pPr>
        <w:pStyle w:val="Leipteksti"/>
        <w:rPr>
          <w:rFonts w:asciiTheme="majorHAnsi" w:hAnsiTheme="majorHAnsi"/>
        </w:rPr>
      </w:pPr>
      <w:r w:rsidRPr="004E4214">
        <w:rPr>
          <w:rFonts w:asciiTheme="majorHAnsi" w:hAnsiTheme="majorHAnsi"/>
        </w:rPr>
        <w:t>Kuntaliiton käs</w:t>
      </w:r>
      <w:r w:rsidR="00003F28">
        <w:rPr>
          <w:rFonts w:asciiTheme="majorHAnsi" w:hAnsiTheme="majorHAnsi"/>
        </w:rPr>
        <w:t>ityksen mukaan esity</w:t>
      </w:r>
      <w:r w:rsidR="00F157BD">
        <w:rPr>
          <w:rFonts w:asciiTheme="majorHAnsi" w:hAnsiTheme="majorHAnsi"/>
        </w:rPr>
        <w:t>kseen</w:t>
      </w:r>
      <w:r w:rsidRPr="004E4214">
        <w:rPr>
          <w:rFonts w:asciiTheme="majorHAnsi" w:hAnsiTheme="majorHAnsi"/>
        </w:rPr>
        <w:t xml:space="preserve"> ei sisälly mitään sellaisia mekanismeja, joilla turvataan työpaikalla tapahtuvan opiskelun lisääntyminen. </w:t>
      </w:r>
    </w:p>
    <w:p w:rsidR="00556C46" w:rsidRPr="004E4214" w:rsidRDefault="00003F28" w:rsidP="009E7A2E">
      <w:pPr>
        <w:ind w:left="1304"/>
        <w:jc w:val="both"/>
        <w:rPr>
          <w:rFonts w:asciiTheme="majorHAnsi" w:hAnsiTheme="majorHAnsi"/>
        </w:rPr>
      </w:pPr>
      <w:r>
        <w:rPr>
          <w:rFonts w:asciiTheme="majorHAnsi" w:hAnsiTheme="majorHAnsi"/>
        </w:rPr>
        <w:t>Esity</w:t>
      </w:r>
      <w:r w:rsidR="00F157BD">
        <w:rPr>
          <w:rFonts w:asciiTheme="majorHAnsi" w:hAnsiTheme="majorHAnsi"/>
        </w:rPr>
        <w:t>ksessä</w:t>
      </w:r>
      <w:r w:rsidR="00556C46" w:rsidRPr="004E4214">
        <w:rPr>
          <w:rFonts w:asciiTheme="majorHAnsi" w:hAnsiTheme="majorHAnsi"/>
        </w:rPr>
        <w:t xml:space="preserve"> työpaikalla tapahtuvan koulutuksen lisääntymisen (</w:t>
      </w:r>
      <w:r w:rsidR="00556C46" w:rsidRPr="004E4214">
        <w:rPr>
          <w:rFonts w:asciiTheme="majorHAnsi" w:hAnsiTheme="majorHAnsi"/>
          <w:i/>
        </w:rPr>
        <w:t>koulutussopimus</w:t>
      </w:r>
      <w:r w:rsidR="00556C46" w:rsidRPr="004E4214">
        <w:rPr>
          <w:rFonts w:asciiTheme="majorHAnsi" w:hAnsiTheme="majorHAnsi"/>
        </w:rPr>
        <w:t xml:space="preserve">) kustannusten laskenta antaa Kuntaliiton käsityksen mukaan liian positiivisen kuvan kustannusten vähenemisestä. Kustannustenlaskennan perusteena on käytetty vuoden 2015 kustannustietojen tilastoa, </w:t>
      </w:r>
      <w:r w:rsidR="00556C46" w:rsidRPr="004E4214">
        <w:rPr>
          <w:rFonts w:asciiTheme="majorHAnsi" w:hAnsiTheme="majorHAnsi"/>
        </w:rPr>
        <w:lastRenderedPageBreak/>
        <w:t>jossa lähtökohtana ovat oppimisympäristön tilastoidut kokonaiskustannukset. Työssäoppimisen kustannustilastoinnissa kärjistyvät ammatillisen koulutuksen tiedonkeruun ongelmat.</w:t>
      </w:r>
      <w:r w:rsidR="00556C46" w:rsidRPr="004E4214">
        <w:rPr>
          <w:rFonts w:asciiTheme="majorHAnsi" w:hAnsiTheme="majorHAnsi"/>
          <w:b/>
        </w:rPr>
        <w:t xml:space="preserve"> </w:t>
      </w:r>
      <w:r w:rsidR="00556C46" w:rsidRPr="004E4214">
        <w:rPr>
          <w:rFonts w:asciiTheme="majorHAnsi" w:hAnsiTheme="majorHAnsi"/>
        </w:rPr>
        <w:t xml:space="preserve">Ammatillisen koulutuksen tiedonkeruu on vuosien myötä laajentunut ja monimutkaistunut uudistusten myötä, vaikka tilastoinnissa pitäisi kerätä vain rahoitusjärjestelmän kannalta välttämättömät tiedot. Kuntaliitto on toistuvasti kiinnittänyt omissa lausunnoissaan huomiota siihen, että tiedonkeruu sisältää useita sellaisia eriteltäviä tietoja, joilla ei ole vaikutusta opetuksen järjestäjän saamaan rahoituksen määrään. Makrotason tilastoinnin ongelmia kuvaa esimerkiksi matkailu-, ravitsemis- ja talousalan työssäoppimisen kustannukset opiskelijaa kohden, jotka vaihtelevat Helsingin kaupungin 7 eurosta Turun aikuiskoulutussäätiön 4 709 euroon. </w:t>
      </w:r>
    </w:p>
    <w:p w:rsidR="00556C46" w:rsidRPr="004E4214" w:rsidRDefault="00556C46" w:rsidP="009E7A2E">
      <w:pPr>
        <w:ind w:left="1304"/>
        <w:jc w:val="both"/>
        <w:rPr>
          <w:rFonts w:asciiTheme="majorHAnsi" w:hAnsiTheme="majorHAnsi"/>
        </w:rPr>
      </w:pPr>
    </w:p>
    <w:p w:rsidR="00556C46" w:rsidRPr="004E4214" w:rsidRDefault="00556C46" w:rsidP="009E7A2E">
      <w:pPr>
        <w:ind w:left="1304"/>
        <w:jc w:val="both"/>
        <w:rPr>
          <w:rFonts w:asciiTheme="majorHAnsi" w:hAnsiTheme="majorHAnsi"/>
        </w:rPr>
      </w:pPr>
      <w:r w:rsidRPr="004E4214">
        <w:rPr>
          <w:rFonts w:asciiTheme="majorHAnsi" w:hAnsiTheme="majorHAnsi"/>
        </w:rPr>
        <w:t>Tilastoinnin ongelmista johtuen Kuntaliitto pitää kustannusvaikutusarvioinnin kannalta parempana, että työpaikalla tapahtuvan oppimisen kustannusvaikutukset lasketaan mikrotason tietoihin, opiskelijamäärä, työpaikalla tapahtuvan ohjauksen määrä ja ohjaustuntien hinta, perustuen. Kuntaliitto on lähtenyt omissa laskelmissaan näistä mikrotason tiedoista.</w:t>
      </w:r>
    </w:p>
    <w:p w:rsidR="00556C46" w:rsidRPr="004E4214" w:rsidRDefault="00556C46" w:rsidP="009E7A2E">
      <w:pPr>
        <w:pStyle w:val="Leipteksti"/>
        <w:spacing w:after="0"/>
        <w:rPr>
          <w:rFonts w:asciiTheme="majorHAnsi" w:hAnsiTheme="majorHAnsi"/>
        </w:rPr>
      </w:pPr>
    </w:p>
    <w:p w:rsidR="00556C46" w:rsidRPr="004E4214" w:rsidRDefault="00003F28" w:rsidP="009E7A2E">
      <w:pPr>
        <w:pStyle w:val="Leipteksti"/>
        <w:spacing w:after="0"/>
        <w:rPr>
          <w:rFonts w:asciiTheme="majorHAnsi" w:hAnsiTheme="majorHAnsi"/>
        </w:rPr>
      </w:pPr>
      <w:r>
        <w:rPr>
          <w:rFonts w:asciiTheme="majorHAnsi" w:hAnsiTheme="majorHAnsi"/>
        </w:rPr>
        <w:t>Esity</w:t>
      </w:r>
      <w:r w:rsidR="00F157BD">
        <w:rPr>
          <w:rFonts w:asciiTheme="majorHAnsi" w:hAnsiTheme="majorHAnsi"/>
        </w:rPr>
        <w:t>ksen</w:t>
      </w:r>
      <w:r w:rsidR="00556C46" w:rsidRPr="004E4214">
        <w:rPr>
          <w:rFonts w:asciiTheme="majorHAnsi" w:hAnsiTheme="majorHAnsi"/>
        </w:rPr>
        <w:t xml:space="preserve"> mukaan oppisopimuskoulutusta lisätään yhdenmukaistamalla sen rahoitustasoa suhteessa muihin koulutuksen järjestämismuotoihin. Voimassa olevan lainsäädännön mukaan oppisopimuskoulutuksen yksikköhinta (perustutkinto) on 63,13 prosenttia 23 §:n nojalla säädetystä ammatillisen peruskoulutuksen keskimääräisestä yksikköhinnasta.</w:t>
      </w:r>
    </w:p>
    <w:p w:rsidR="00556C46" w:rsidRPr="004E4214" w:rsidRDefault="00556C46" w:rsidP="009E7A2E">
      <w:pPr>
        <w:pStyle w:val="Leipteksti"/>
        <w:spacing w:after="0"/>
        <w:rPr>
          <w:rFonts w:asciiTheme="majorHAnsi" w:hAnsiTheme="majorHAnsi"/>
        </w:rPr>
      </w:pPr>
    </w:p>
    <w:p w:rsidR="00556C46" w:rsidRPr="004E4214" w:rsidRDefault="00556C46" w:rsidP="009E7A2E">
      <w:pPr>
        <w:pStyle w:val="Leipteksti"/>
        <w:spacing w:after="0"/>
        <w:rPr>
          <w:rFonts w:asciiTheme="majorHAnsi" w:hAnsiTheme="majorHAnsi"/>
        </w:rPr>
      </w:pPr>
      <w:r w:rsidRPr="004E4214">
        <w:rPr>
          <w:rFonts w:asciiTheme="majorHAnsi" w:hAnsiTheme="majorHAnsi"/>
        </w:rPr>
        <w:t xml:space="preserve">Kuntaliitto huomauttaa, että rahoituksen yhdenmukaistaminen edellyttää joko oppisopimuskoulutuksen määrän vähentämistä tai muiden koulutusmuotojen rahoitustason alentamista. </w:t>
      </w:r>
    </w:p>
    <w:p w:rsidR="00556C46" w:rsidRPr="004E4214" w:rsidRDefault="00556C46" w:rsidP="009E7A2E">
      <w:pPr>
        <w:pStyle w:val="Leipteksti"/>
        <w:spacing w:after="0"/>
        <w:rPr>
          <w:rFonts w:asciiTheme="majorHAnsi" w:hAnsiTheme="majorHAnsi"/>
        </w:rPr>
      </w:pPr>
    </w:p>
    <w:p w:rsidR="00556C46" w:rsidRPr="004E4214" w:rsidRDefault="00556C46" w:rsidP="009E7A2E">
      <w:pPr>
        <w:pStyle w:val="Leipteksti"/>
        <w:spacing w:after="0"/>
        <w:rPr>
          <w:rFonts w:asciiTheme="majorHAnsi" w:hAnsiTheme="majorHAnsi"/>
        </w:rPr>
      </w:pPr>
      <w:r w:rsidRPr="004E4214">
        <w:rPr>
          <w:rFonts w:asciiTheme="majorHAnsi" w:hAnsiTheme="majorHAnsi"/>
        </w:rPr>
        <w:t>Kuntaliiton käsityksen mukaan oppisopimuskoulutuksen määrän lisääntyminen ei vähennä julkisen talouden menoja.</w:t>
      </w:r>
    </w:p>
    <w:p w:rsidR="00556C46" w:rsidRPr="004E4214" w:rsidRDefault="00556C46" w:rsidP="00556C46">
      <w:pPr>
        <w:ind w:left="360"/>
        <w:rPr>
          <w:rFonts w:asciiTheme="majorHAnsi" w:hAnsiTheme="majorHAnsi"/>
        </w:rPr>
      </w:pPr>
    </w:p>
    <w:p w:rsidR="00787636" w:rsidRPr="004E4214" w:rsidRDefault="00787636" w:rsidP="00556C46">
      <w:pPr>
        <w:pStyle w:val="Vaintekstin"/>
        <w:ind w:left="360"/>
        <w:rPr>
          <w:rFonts w:asciiTheme="majorHAnsi" w:hAnsiTheme="majorHAnsi"/>
          <w:sz w:val="18"/>
          <w:szCs w:val="18"/>
        </w:rPr>
      </w:pPr>
    </w:p>
    <w:p w:rsidR="00CF438D" w:rsidRPr="004E4214" w:rsidRDefault="00CF438D" w:rsidP="001A7EE8">
      <w:pPr>
        <w:pStyle w:val="Leipteksti"/>
        <w:rPr>
          <w:rFonts w:asciiTheme="majorHAnsi" w:hAnsiTheme="majorHAnsi"/>
        </w:rPr>
      </w:pPr>
    </w:p>
    <w:tbl>
      <w:tblPr>
        <w:tblStyle w:val="Eiruudukkoa"/>
        <w:tblW w:w="0" w:type="auto"/>
        <w:tblCellMar>
          <w:bottom w:w="180" w:type="dxa"/>
        </w:tblCellMar>
        <w:tblLook w:val="04A0" w:firstRow="1" w:lastRow="0" w:firstColumn="1" w:lastColumn="0" w:noHBand="0" w:noVBand="1"/>
      </w:tblPr>
      <w:tblGrid>
        <w:gridCol w:w="1290"/>
        <w:gridCol w:w="8631"/>
      </w:tblGrid>
      <w:tr w:rsidR="00CF438D" w:rsidRPr="00CF438D" w:rsidTr="00F51E46">
        <w:tc>
          <w:tcPr>
            <w:tcW w:w="1290" w:type="dxa"/>
          </w:tcPr>
          <w:p w:rsidR="00CF438D" w:rsidRDefault="00CF438D" w:rsidP="00F51E46"/>
        </w:tc>
        <w:tc>
          <w:tcPr>
            <w:tcW w:w="8631" w:type="dxa"/>
          </w:tcPr>
          <w:p w:rsidR="00CF438D" w:rsidRPr="00CF438D" w:rsidRDefault="00CF438D" w:rsidP="00315C63"/>
        </w:tc>
      </w:tr>
      <w:tr w:rsidR="00CF438D" w:rsidRPr="00CF438D" w:rsidTr="00F51E46">
        <w:tc>
          <w:tcPr>
            <w:tcW w:w="1290" w:type="dxa"/>
          </w:tcPr>
          <w:p w:rsidR="00CF438D" w:rsidRDefault="00CF438D" w:rsidP="00315C63"/>
        </w:tc>
        <w:tc>
          <w:tcPr>
            <w:tcW w:w="8631" w:type="dxa"/>
          </w:tcPr>
          <w:p w:rsidR="00CF438D" w:rsidRPr="00CF438D" w:rsidRDefault="00CF438D" w:rsidP="00315C63"/>
        </w:tc>
      </w:tr>
    </w:tbl>
    <w:p w:rsidR="00B46A56" w:rsidRDefault="00B46A56" w:rsidP="00CF438D"/>
    <w:p w:rsidR="000107C6" w:rsidRDefault="000107C6"/>
    <w:p w:rsidR="000107C6" w:rsidRDefault="000107C6"/>
    <w:p w:rsidR="000107C6" w:rsidRDefault="000107C6"/>
    <w:p w:rsidR="000107C6" w:rsidRDefault="000107C6"/>
    <w:p w:rsidR="000107C6" w:rsidRDefault="000107C6"/>
    <w:p w:rsidR="000107C6" w:rsidRDefault="000107C6">
      <w:r>
        <w:br w:type="page"/>
      </w:r>
    </w:p>
    <w:p w:rsidR="000107C6" w:rsidRDefault="00F157BD">
      <w:r>
        <w:rPr>
          <w:noProof/>
          <w:lang w:eastAsia="fi-FI"/>
        </w:rPr>
        <w:lastRenderedPageBreak/>
        <mc:AlternateContent>
          <mc:Choice Requires="wps">
            <w:drawing>
              <wp:anchor distT="0" distB="0" distL="114300" distR="114300" simplePos="0" relativeHeight="251660288" behindDoc="1" locked="0" layoutInCell="1" allowOverlap="1">
                <wp:simplePos x="0" y="0"/>
                <wp:positionH relativeFrom="column">
                  <wp:posOffset>-688976</wp:posOffset>
                </wp:positionH>
                <wp:positionV relativeFrom="paragraph">
                  <wp:posOffset>202592</wp:posOffset>
                </wp:positionV>
                <wp:extent cx="637720" cy="441298"/>
                <wp:effectExtent l="0" t="0" r="0" b="0"/>
                <wp:wrapNone/>
                <wp:docPr id="4" name="Suorakulmio 4"/>
                <wp:cNvGraphicFramePr/>
                <a:graphic xmlns:a="http://schemas.openxmlformats.org/drawingml/2006/main">
                  <a:graphicData uri="http://schemas.microsoft.com/office/word/2010/wordprocessingShape">
                    <wps:wsp>
                      <wps:cNvSpPr/>
                      <wps:spPr>
                        <a:xfrm rot="16200000">
                          <a:off x="0" y="0"/>
                          <a:ext cx="637720" cy="4412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7BD" w:rsidRPr="00876C1E" w:rsidRDefault="00F157BD" w:rsidP="00F157BD">
                            <w:pPr>
                              <w:rPr>
                                <w:color w:val="FFFFFF" w:themeColor="background1"/>
                                <w:sz w:val="22"/>
                              </w:rPr>
                            </w:pPr>
                            <w:r w:rsidRPr="00876C1E">
                              <w:rPr>
                                <w:color w:val="FFFFFF" w:themeColor="background1"/>
                                <w:sz w:val="22"/>
                              </w:rPr>
                              <w:t>Liite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Suorakulmio 4" o:spid="_x0000_s1026" style="position:absolute;margin-left:-54.25pt;margin-top:15.95pt;width:50.2pt;height:34.7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" filled="f" stroked="f" strokeweight="2pt">
                <v:textbox>
                  <w:txbxContent>
                    <w:p w:rsidR="00F157BD" w:rsidRPr="00876C1E" w:rsidRDefault="00F157BD" w:rsidP="00F157BD">
                      <w:pPr>
                        <w:rPr>
                          <w:color w:val="FFFFFF" w:themeColor="background1"/>
                          <w:sz w:val="22"/>
                        </w:rPr>
                      </w:pPr>
                      <w:r w:rsidRPr="00876C1E">
                        <w:rPr>
                          <w:color w:val="FFFFFF" w:themeColor="background1"/>
                          <w:sz w:val="22"/>
                        </w:rPr>
                        <w:t>Liite</w:t>
                      </w:r>
                    </w:p>
                  </w:txbxContent>
                </v:textbox>
              </v:rect>
            </w:pict>
          </mc:Fallback>
        </mc:AlternateContent>
      </w:r>
      <w:r w:rsidR="0056298B">
        <w:rPr>
          <w:noProof/>
          <w:lang w:eastAsia="fi-FI"/>
        </w:rPr>
        <mc:AlternateContent>
          <mc:Choice Requires="wps">
            <w:drawing>
              <wp:anchor distT="0" distB="0" distL="114300" distR="114300" simplePos="0" relativeHeight="251659264" behindDoc="0" locked="0" layoutInCell="1" allowOverlap="1">
                <wp:simplePos x="0" y="0"/>
                <wp:positionH relativeFrom="column">
                  <wp:posOffset>-163499</wp:posOffset>
                </wp:positionH>
                <wp:positionV relativeFrom="paragraph">
                  <wp:posOffset>-39122</wp:posOffset>
                </wp:positionV>
                <wp:extent cx="421419" cy="1049573"/>
                <wp:effectExtent l="0" t="0" r="0" b="0"/>
                <wp:wrapNone/>
                <wp:docPr id="2" name="Suorakulmio 2"/>
                <wp:cNvGraphicFramePr/>
                <a:graphic xmlns:a="http://schemas.openxmlformats.org/drawingml/2006/main">
                  <a:graphicData uri="http://schemas.microsoft.com/office/word/2010/wordprocessingShape">
                    <wps:wsp>
                      <wps:cNvSpPr/>
                      <wps:spPr>
                        <a:xfrm>
                          <a:off x="0" y="0"/>
                          <a:ext cx="421419" cy="10495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A41F" id="Suorakulmio 2" o:spid="_x0000_s1026" style="position:absolute;margin-left:-12.85pt;margin-top:-3.1pt;width:33.2pt;height:8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" fillcolor="white [3212]" stroked="f" strokeweight="2pt"/>
            </w:pict>
          </mc:Fallback>
        </mc:AlternateContent>
      </w:r>
      <w:r w:rsidR="00666339">
        <w:rPr>
          <w:noProof/>
          <w:lang w:eastAsia="fi-FI"/>
        </w:rPr>
        <w:drawing>
          <wp:inline distT="0" distB="0" distL="0" distR="0" wp14:anchorId="52F13BB9" wp14:editId="01197D66">
            <wp:extent cx="8209848" cy="6506429"/>
            <wp:effectExtent l="0" t="5715"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672" t="10892" r="28014" b="5582"/>
                    <a:stretch/>
                  </pic:blipFill>
                  <pic:spPr bwMode="auto">
                    <a:xfrm rot="16200000">
                      <a:off x="0" y="0"/>
                      <a:ext cx="8217924" cy="6512829"/>
                    </a:xfrm>
                    <a:prstGeom prst="rect">
                      <a:avLst/>
                    </a:prstGeom>
                    <a:ln>
                      <a:noFill/>
                    </a:ln>
                    <a:extLst>
                      <a:ext uri="{53640926-AAD7-44D8-BBD7-CCE9431645EC}">
                        <a14:shadowObscured xmlns:a14="http://schemas.microsoft.com/office/drawing/2010/main"/>
                      </a:ext>
                    </a:extLst>
                  </pic:spPr>
                </pic:pic>
              </a:graphicData>
            </a:graphic>
          </wp:inline>
        </w:drawing>
      </w:r>
    </w:p>
    <w:sectPr w:rsidR="000107C6" w:rsidSect="00A257A0">
      <w:headerReference w:type="first" r:id="rId9"/>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65" w:rsidRDefault="00255C65" w:rsidP="002233A8">
      <w:r>
        <w:separator/>
      </w:r>
    </w:p>
  </w:endnote>
  <w:endnote w:type="continuationSeparator" w:id="0">
    <w:p w:rsidR="00255C65" w:rsidRDefault="00255C65"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65" w:rsidRDefault="00255C65" w:rsidP="002233A8">
      <w:r>
        <w:separator/>
      </w:r>
    </w:p>
  </w:footnote>
  <w:footnote w:type="continuationSeparator" w:id="0">
    <w:p w:rsidR="00255C65" w:rsidRDefault="00255C65"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5216"/>
      <w:gridCol w:w="2608"/>
      <w:gridCol w:w="1304"/>
      <w:gridCol w:w="795"/>
    </w:tblGrid>
    <w:tr w:rsidR="00A61C72" w:rsidRPr="00A17AA6" w:rsidTr="00E44E44">
      <w:tc>
        <w:tcPr>
          <w:tcW w:w="5216" w:type="dxa"/>
          <w:vMerge w:val="restart"/>
        </w:tcPr>
        <w:p w:rsidR="00A61C72" w:rsidRPr="00A17AA6" w:rsidRDefault="00A61C72" w:rsidP="00280E94">
          <w:pPr>
            <w:pStyle w:val="Yltunniste"/>
          </w:pPr>
          <w:r w:rsidRPr="00A17AA6">
            <w:rPr>
              <w:noProof/>
              <w:lang w:eastAsia="fi-FI"/>
            </w:rPr>
            <w:drawing>
              <wp:anchor distT="0" distB="0" distL="114300" distR="114300" simplePos="0" relativeHeight="251662336" behindDoc="0" locked="0" layoutInCell="1" allowOverlap="1" wp14:anchorId="067E17B5" wp14:editId="2E601CD9">
                <wp:simplePos x="0" y="0"/>
                <wp:positionH relativeFrom="column">
                  <wp:posOffset>-151765</wp:posOffset>
                </wp:positionH>
                <wp:positionV relativeFrom="paragraph">
                  <wp:posOffset>-192405</wp:posOffset>
                </wp:positionV>
                <wp:extent cx="2016000" cy="626182"/>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388265274"/>
          <w:placeholder>
            <w:docPart w:val="14CC1B18C18B4AA188ACAE9102364B39"/>
          </w:placeholder>
          <w:text/>
        </w:sdtPr>
        <w:sdtEndPr/>
        <w:sdtContent>
          <w:tc>
            <w:tcPr>
              <w:tcW w:w="2608" w:type="dxa"/>
            </w:tcPr>
            <w:p w:rsidR="00A61C72" w:rsidRPr="00A17AA6" w:rsidRDefault="00A61C72" w:rsidP="00A61C72">
              <w:pPr>
                <w:pStyle w:val="Yltunniste"/>
                <w:rPr>
                  <w:b/>
                </w:rPr>
              </w:pPr>
              <w:r>
                <w:rPr>
                  <w:b/>
                </w:rPr>
                <w:t>Liite 1</w:t>
              </w:r>
            </w:p>
          </w:tc>
        </w:sdtContent>
      </w:sdt>
      <w:tc>
        <w:tcPr>
          <w:tcW w:w="1304" w:type="dxa"/>
        </w:tcPr>
        <w:p w:rsidR="00A61C72" w:rsidRPr="00A17AA6" w:rsidRDefault="00A61C72" w:rsidP="00280E94">
          <w:pPr>
            <w:pStyle w:val="Yltunniste"/>
          </w:pPr>
        </w:p>
      </w:tc>
      <w:tc>
        <w:tcPr>
          <w:tcW w:w="795" w:type="dxa"/>
        </w:tcPr>
        <w:p w:rsidR="00A61C72" w:rsidRPr="00A17AA6" w:rsidRDefault="00A61C72" w:rsidP="00280E94">
          <w:pPr>
            <w:pStyle w:val="Yltunniste"/>
          </w:pPr>
        </w:p>
      </w:tc>
    </w:tr>
    <w:tr w:rsidR="00A61C72" w:rsidRPr="00A17AA6" w:rsidTr="00E44E44">
      <w:tc>
        <w:tcPr>
          <w:tcW w:w="5216" w:type="dxa"/>
          <w:vMerge/>
        </w:tcPr>
        <w:p w:rsidR="00A61C72" w:rsidRPr="00A17AA6" w:rsidRDefault="00A61C72" w:rsidP="00280E94">
          <w:pPr>
            <w:pStyle w:val="Yltunniste"/>
          </w:pPr>
        </w:p>
      </w:tc>
      <w:tc>
        <w:tcPr>
          <w:tcW w:w="2608" w:type="dxa"/>
        </w:tcPr>
        <w:p w:rsidR="00A61C72" w:rsidRPr="00A17AA6" w:rsidRDefault="00A61C72" w:rsidP="00280E94">
          <w:pPr>
            <w:pStyle w:val="Yltunniste"/>
          </w:pPr>
        </w:p>
      </w:tc>
      <w:tc>
        <w:tcPr>
          <w:tcW w:w="2099" w:type="dxa"/>
          <w:gridSpan w:val="2"/>
        </w:tcPr>
        <w:p w:rsidR="00A61C72" w:rsidRPr="00A17AA6" w:rsidRDefault="00A61C72" w:rsidP="00280E94">
          <w:pPr>
            <w:pStyle w:val="Yltunniste"/>
          </w:pPr>
        </w:p>
      </w:tc>
    </w:tr>
    <w:tr w:rsidR="00A61C72" w:rsidRPr="00A17AA6" w:rsidTr="00E44E44">
      <w:tc>
        <w:tcPr>
          <w:tcW w:w="5216" w:type="dxa"/>
          <w:vMerge/>
        </w:tcPr>
        <w:p w:rsidR="00A61C72" w:rsidRPr="00A17AA6" w:rsidRDefault="00A61C72" w:rsidP="00280E94">
          <w:pPr>
            <w:pStyle w:val="Yltunniste"/>
          </w:pPr>
        </w:p>
      </w:tc>
      <w:tc>
        <w:tcPr>
          <w:tcW w:w="2608" w:type="dxa"/>
        </w:tcPr>
        <w:p w:rsidR="00A61C72" w:rsidRPr="00A17AA6" w:rsidRDefault="00A61C72" w:rsidP="00280E94">
          <w:pPr>
            <w:pStyle w:val="Yltunniste"/>
          </w:pPr>
        </w:p>
      </w:tc>
      <w:tc>
        <w:tcPr>
          <w:tcW w:w="2099" w:type="dxa"/>
          <w:gridSpan w:val="2"/>
        </w:tcPr>
        <w:p w:rsidR="00A61C72" w:rsidRPr="00A17AA6" w:rsidRDefault="00A61C72" w:rsidP="00280E94">
          <w:pPr>
            <w:pStyle w:val="Yltunniste"/>
          </w:pPr>
        </w:p>
      </w:tc>
    </w:tr>
    <w:tr w:rsidR="00A61C72" w:rsidRPr="00A17AA6" w:rsidTr="00E44E44">
      <w:tc>
        <w:tcPr>
          <w:tcW w:w="5216" w:type="dxa"/>
        </w:tcPr>
        <w:p w:rsidR="00A61C72" w:rsidRPr="00A17AA6" w:rsidRDefault="00A61C72" w:rsidP="00A17AA6">
          <w:pPr>
            <w:pStyle w:val="Yltunniste"/>
          </w:pPr>
          <w:r>
            <w:t>Maarit Kallio-Savela</w:t>
          </w:r>
        </w:p>
      </w:tc>
      <w:sdt>
        <w:sdtPr>
          <w:id w:val="-977832386"/>
          <w:date w:fullDate="2017-05-15T00:00:00Z">
            <w:dateFormat w:val="d.M.yyyy"/>
            <w:lid w:val="fi-FI"/>
            <w:storeMappedDataAs w:val="dateTime"/>
            <w:calendar w:val="gregorian"/>
          </w:date>
        </w:sdtPr>
        <w:sdtEndPr/>
        <w:sdtContent>
          <w:tc>
            <w:tcPr>
              <w:tcW w:w="2608" w:type="dxa"/>
            </w:tcPr>
            <w:p w:rsidR="00A61C72" w:rsidRPr="00A17AA6" w:rsidRDefault="00A61C72" w:rsidP="00A17AA6">
              <w:pPr>
                <w:pStyle w:val="Yltunniste"/>
              </w:pPr>
              <w:r>
                <w:t>15.5.2017</w:t>
              </w:r>
            </w:p>
          </w:tc>
        </w:sdtContent>
      </w:sdt>
      <w:tc>
        <w:tcPr>
          <w:tcW w:w="2099" w:type="dxa"/>
          <w:gridSpan w:val="2"/>
        </w:tcPr>
        <w:p w:rsidR="00A61C72" w:rsidRPr="00A17AA6" w:rsidRDefault="00A61C72" w:rsidP="00280E94">
          <w:pPr>
            <w:pStyle w:val="Yltunniste"/>
          </w:pPr>
        </w:p>
      </w:tc>
    </w:tr>
    <w:tr w:rsidR="00A61C72" w:rsidRPr="00A17AA6" w:rsidTr="00E44E44">
      <w:trPr>
        <w:trHeight w:hRule="exact" w:val="454"/>
      </w:trPr>
      <w:tc>
        <w:tcPr>
          <w:tcW w:w="5216" w:type="dxa"/>
        </w:tcPr>
        <w:p w:rsidR="00A61C72" w:rsidRPr="00A17AA6" w:rsidRDefault="00A61C72" w:rsidP="00280E94">
          <w:pPr>
            <w:pStyle w:val="Yltunniste"/>
          </w:pPr>
        </w:p>
      </w:tc>
      <w:tc>
        <w:tcPr>
          <w:tcW w:w="2608" w:type="dxa"/>
        </w:tcPr>
        <w:p w:rsidR="00A61C72" w:rsidRPr="00A17AA6" w:rsidRDefault="00A61C72" w:rsidP="00280E94">
          <w:pPr>
            <w:pStyle w:val="Yltunniste"/>
          </w:pPr>
        </w:p>
      </w:tc>
      <w:tc>
        <w:tcPr>
          <w:tcW w:w="2099" w:type="dxa"/>
          <w:gridSpan w:val="2"/>
        </w:tcPr>
        <w:p w:rsidR="00A61C72" w:rsidRPr="00A17AA6" w:rsidRDefault="00A61C72" w:rsidP="00280E94">
          <w:pPr>
            <w:pStyle w:val="Yltunniste"/>
          </w:pPr>
        </w:p>
      </w:tc>
    </w:tr>
  </w:tbl>
  <w:p w:rsidR="00A61C72" w:rsidRPr="00A17AA6" w:rsidRDefault="00A61C7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B404B"/>
    <w:multiLevelType w:val="hybridMultilevel"/>
    <w:tmpl w:val="A3C400B4"/>
    <w:lvl w:ilvl="0" w:tplc="7C843418">
      <w:numFmt w:val="bullet"/>
      <w:lvlText w:val="-"/>
      <w:lvlJc w:val="left"/>
      <w:pPr>
        <w:ind w:left="1664"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4"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38B1155F"/>
    <w:multiLevelType w:val="hybridMultilevel"/>
    <w:tmpl w:val="365CBC04"/>
    <w:lvl w:ilvl="0" w:tplc="0D96906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4BF1E96"/>
    <w:multiLevelType w:val="hybridMultilevel"/>
    <w:tmpl w:val="C3123F7C"/>
    <w:lvl w:ilvl="0" w:tplc="7C843418">
      <w:numFmt w:val="bullet"/>
      <w:lvlText w:val="-"/>
      <w:lvlJc w:val="left"/>
      <w:pPr>
        <w:ind w:left="1664" w:hanging="360"/>
      </w:pPr>
      <w:rPr>
        <w:rFonts w:ascii="Calibri" w:eastAsiaTheme="minorHAns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6EA16276"/>
    <w:multiLevelType w:val="hybridMultilevel"/>
    <w:tmpl w:val="4736385C"/>
    <w:lvl w:ilvl="0" w:tplc="33DA82A4">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173DE0"/>
    <w:multiLevelType w:val="multilevel"/>
    <w:tmpl w:val="895622CA"/>
    <w:numStyleLink w:val="Otsikkonumerointi"/>
  </w:abstractNum>
  <w:abstractNum w:abstractNumId="10" w15:restartNumberingAfterBreak="0">
    <w:nsid w:val="7D8C262E"/>
    <w:multiLevelType w:val="hybridMultilevel"/>
    <w:tmpl w:val="3E968356"/>
    <w:lvl w:ilvl="0" w:tplc="8CC873EA">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3"/>
  </w:num>
  <w:num w:numId="6">
    <w:abstractNumId w:val="9"/>
  </w:num>
  <w:num w:numId="7">
    <w:abstractNumId w:val="4"/>
  </w:num>
  <w:num w:numId="8">
    <w:abstractNumId w:val="7"/>
  </w:num>
  <w:num w:numId="9">
    <w:abstractNumId w:val="5"/>
  </w:num>
  <w:num w:numId="10">
    <w:abstractNumId w:val="1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74"/>
    <w:rsid w:val="00003F28"/>
    <w:rsid w:val="000107C6"/>
    <w:rsid w:val="00016060"/>
    <w:rsid w:val="00044FD8"/>
    <w:rsid w:val="00053174"/>
    <w:rsid w:val="000569A9"/>
    <w:rsid w:val="0006563F"/>
    <w:rsid w:val="0006766F"/>
    <w:rsid w:val="0007047A"/>
    <w:rsid w:val="000762B7"/>
    <w:rsid w:val="00083B8E"/>
    <w:rsid w:val="00091DA3"/>
    <w:rsid w:val="0009284A"/>
    <w:rsid w:val="00097091"/>
    <w:rsid w:val="000A046F"/>
    <w:rsid w:val="000B7D27"/>
    <w:rsid w:val="000C7E41"/>
    <w:rsid w:val="000E1C4C"/>
    <w:rsid w:val="000E37B5"/>
    <w:rsid w:val="000F204E"/>
    <w:rsid w:val="000F243A"/>
    <w:rsid w:val="000F3EAA"/>
    <w:rsid w:val="000F56D4"/>
    <w:rsid w:val="000F6045"/>
    <w:rsid w:val="00110F03"/>
    <w:rsid w:val="00126C8A"/>
    <w:rsid w:val="00127316"/>
    <w:rsid w:val="00144372"/>
    <w:rsid w:val="00157738"/>
    <w:rsid w:val="00163A89"/>
    <w:rsid w:val="001667AC"/>
    <w:rsid w:val="00175907"/>
    <w:rsid w:val="00176E46"/>
    <w:rsid w:val="00192156"/>
    <w:rsid w:val="00197CBD"/>
    <w:rsid w:val="001A057F"/>
    <w:rsid w:val="001A1055"/>
    <w:rsid w:val="001A7EE8"/>
    <w:rsid w:val="001B0DA4"/>
    <w:rsid w:val="001B156C"/>
    <w:rsid w:val="001C11D3"/>
    <w:rsid w:val="001C324F"/>
    <w:rsid w:val="001C7D87"/>
    <w:rsid w:val="001D72E3"/>
    <w:rsid w:val="001D7AD3"/>
    <w:rsid w:val="001E65F7"/>
    <w:rsid w:val="001F346B"/>
    <w:rsid w:val="001F69B9"/>
    <w:rsid w:val="0021308F"/>
    <w:rsid w:val="002233A8"/>
    <w:rsid w:val="00232120"/>
    <w:rsid w:val="00250F9A"/>
    <w:rsid w:val="00255298"/>
    <w:rsid w:val="00255C65"/>
    <w:rsid w:val="0025786C"/>
    <w:rsid w:val="00271C40"/>
    <w:rsid w:val="00277DEB"/>
    <w:rsid w:val="002851CB"/>
    <w:rsid w:val="002A4599"/>
    <w:rsid w:val="002A7492"/>
    <w:rsid w:val="002B7285"/>
    <w:rsid w:val="002F31F1"/>
    <w:rsid w:val="003014B2"/>
    <w:rsid w:val="00304550"/>
    <w:rsid w:val="0032697D"/>
    <w:rsid w:val="00351703"/>
    <w:rsid w:val="00365B93"/>
    <w:rsid w:val="0038490C"/>
    <w:rsid w:val="003879F4"/>
    <w:rsid w:val="003916CB"/>
    <w:rsid w:val="003917AF"/>
    <w:rsid w:val="0039772A"/>
    <w:rsid w:val="003C614F"/>
    <w:rsid w:val="003D61AF"/>
    <w:rsid w:val="004037DD"/>
    <w:rsid w:val="00403995"/>
    <w:rsid w:val="00407B6D"/>
    <w:rsid w:val="00420272"/>
    <w:rsid w:val="0042796E"/>
    <w:rsid w:val="00451DC1"/>
    <w:rsid w:val="0045268A"/>
    <w:rsid w:val="00462FB3"/>
    <w:rsid w:val="00470B94"/>
    <w:rsid w:val="00482713"/>
    <w:rsid w:val="00486830"/>
    <w:rsid w:val="00486C89"/>
    <w:rsid w:val="004952F1"/>
    <w:rsid w:val="004A2040"/>
    <w:rsid w:val="004C3183"/>
    <w:rsid w:val="004C4858"/>
    <w:rsid w:val="004E0D44"/>
    <w:rsid w:val="004E1DF5"/>
    <w:rsid w:val="004E4214"/>
    <w:rsid w:val="004F076A"/>
    <w:rsid w:val="00504482"/>
    <w:rsid w:val="0051227D"/>
    <w:rsid w:val="005406C4"/>
    <w:rsid w:val="00547B50"/>
    <w:rsid w:val="00553465"/>
    <w:rsid w:val="00556C46"/>
    <w:rsid w:val="0056298B"/>
    <w:rsid w:val="00580312"/>
    <w:rsid w:val="00581B1A"/>
    <w:rsid w:val="0058240D"/>
    <w:rsid w:val="00593CDC"/>
    <w:rsid w:val="005A3149"/>
    <w:rsid w:val="005B72A4"/>
    <w:rsid w:val="005D1ED8"/>
    <w:rsid w:val="005D2482"/>
    <w:rsid w:val="005E30FE"/>
    <w:rsid w:val="005F0606"/>
    <w:rsid w:val="005F46F7"/>
    <w:rsid w:val="0060129F"/>
    <w:rsid w:val="00605138"/>
    <w:rsid w:val="0060668C"/>
    <w:rsid w:val="00607649"/>
    <w:rsid w:val="00615046"/>
    <w:rsid w:val="00617A31"/>
    <w:rsid w:val="00625A1F"/>
    <w:rsid w:val="0062737B"/>
    <w:rsid w:val="00630B35"/>
    <w:rsid w:val="00640DEC"/>
    <w:rsid w:val="006474AA"/>
    <w:rsid w:val="00654C37"/>
    <w:rsid w:val="00655B67"/>
    <w:rsid w:val="00666339"/>
    <w:rsid w:val="00687039"/>
    <w:rsid w:val="00693A4A"/>
    <w:rsid w:val="0069594F"/>
    <w:rsid w:val="006B4498"/>
    <w:rsid w:val="006C1F14"/>
    <w:rsid w:val="006C702C"/>
    <w:rsid w:val="006D465D"/>
    <w:rsid w:val="00704800"/>
    <w:rsid w:val="00704830"/>
    <w:rsid w:val="00721AAB"/>
    <w:rsid w:val="00732F52"/>
    <w:rsid w:val="007448E6"/>
    <w:rsid w:val="00745C88"/>
    <w:rsid w:val="00747973"/>
    <w:rsid w:val="00755296"/>
    <w:rsid w:val="0076543B"/>
    <w:rsid w:val="00766726"/>
    <w:rsid w:val="00766ED3"/>
    <w:rsid w:val="00767518"/>
    <w:rsid w:val="00787636"/>
    <w:rsid w:val="007A5990"/>
    <w:rsid w:val="007A71CE"/>
    <w:rsid w:val="007A7AA2"/>
    <w:rsid w:val="007E3A94"/>
    <w:rsid w:val="007E3B84"/>
    <w:rsid w:val="00801441"/>
    <w:rsid w:val="0081242E"/>
    <w:rsid w:val="0083631C"/>
    <w:rsid w:val="00836EF4"/>
    <w:rsid w:val="00841BFC"/>
    <w:rsid w:val="008661BB"/>
    <w:rsid w:val="00872B73"/>
    <w:rsid w:val="00876C1E"/>
    <w:rsid w:val="00877B98"/>
    <w:rsid w:val="00887E54"/>
    <w:rsid w:val="0089100A"/>
    <w:rsid w:val="008A0A30"/>
    <w:rsid w:val="008A19B6"/>
    <w:rsid w:val="008A7B0F"/>
    <w:rsid w:val="008B7736"/>
    <w:rsid w:val="008D22F7"/>
    <w:rsid w:val="008F2B5C"/>
    <w:rsid w:val="008F458E"/>
    <w:rsid w:val="009076D4"/>
    <w:rsid w:val="00910D53"/>
    <w:rsid w:val="00920CC0"/>
    <w:rsid w:val="00925AF8"/>
    <w:rsid w:val="00942782"/>
    <w:rsid w:val="009510A9"/>
    <w:rsid w:val="00951C28"/>
    <w:rsid w:val="00955111"/>
    <w:rsid w:val="00981676"/>
    <w:rsid w:val="00983278"/>
    <w:rsid w:val="00985071"/>
    <w:rsid w:val="0099473E"/>
    <w:rsid w:val="009B4CD0"/>
    <w:rsid w:val="009C08A7"/>
    <w:rsid w:val="009C0E4A"/>
    <w:rsid w:val="009D6682"/>
    <w:rsid w:val="009E4A50"/>
    <w:rsid w:val="009E72BA"/>
    <w:rsid w:val="009E7A2E"/>
    <w:rsid w:val="00A17AA6"/>
    <w:rsid w:val="00A254FC"/>
    <w:rsid w:val="00A257A0"/>
    <w:rsid w:val="00A61C72"/>
    <w:rsid w:val="00A770C6"/>
    <w:rsid w:val="00A9799A"/>
    <w:rsid w:val="00AA35D4"/>
    <w:rsid w:val="00AC03A4"/>
    <w:rsid w:val="00AE01F5"/>
    <w:rsid w:val="00AE0660"/>
    <w:rsid w:val="00AF3B5A"/>
    <w:rsid w:val="00B05FF9"/>
    <w:rsid w:val="00B32088"/>
    <w:rsid w:val="00B33020"/>
    <w:rsid w:val="00B37A35"/>
    <w:rsid w:val="00B46A56"/>
    <w:rsid w:val="00B51779"/>
    <w:rsid w:val="00B70890"/>
    <w:rsid w:val="00B70944"/>
    <w:rsid w:val="00B71593"/>
    <w:rsid w:val="00B82C91"/>
    <w:rsid w:val="00B933C7"/>
    <w:rsid w:val="00BA23EE"/>
    <w:rsid w:val="00BA4C9D"/>
    <w:rsid w:val="00BB7135"/>
    <w:rsid w:val="00BC49F6"/>
    <w:rsid w:val="00BD0BD6"/>
    <w:rsid w:val="00BE29FA"/>
    <w:rsid w:val="00BE4E63"/>
    <w:rsid w:val="00BF01DF"/>
    <w:rsid w:val="00BF0C25"/>
    <w:rsid w:val="00C15E90"/>
    <w:rsid w:val="00C321B4"/>
    <w:rsid w:val="00C33E37"/>
    <w:rsid w:val="00C359A9"/>
    <w:rsid w:val="00C361A7"/>
    <w:rsid w:val="00C53400"/>
    <w:rsid w:val="00C814B3"/>
    <w:rsid w:val="00C839FC"/>
    <w:rsid w:val="00C9445F"/>
    <w:rsid w:val="00CA5E5E"/>
    <w:rsid w:val="00CB4306"/>
    <w:rsid w:val="00CB7969"/>
    <w:rsid w:val="00CD1148"/>
    <w:rsid w:val="00CF438D"/>
    <w:rsid w:val="00CF4D2C"/>
    <w:rsid w:val="00CF54FC"/>
    <w:rsid w:val="00D13E26"/>
    <w:rsid w:val="00D220D0"/>
    <w:rsid w:val="00D3785C"/>
    <w:rsid w:val="00D63BFE"/>
    <w:rsid w:val="00D7752E"/>
    <w:rsid w:val="00D9280E"/>
    <w:rsid w:val="00D93239"/>
    <w:rsid w:val="00D934BA"/>
    <w:rsid w:val="00D959BA"/>
    <w:rsid w:val="00D9744C"/>
    <w:rsid w:val="00DA3A5D"/>
    <w:rsid w:val="00DA50C0"/>
    <w:rsid w:val="00DC064E"/>
    <w:rsid w:val="00DD067A"/>
    <w:rsid w:val="00DD0E94"/>
    <w:rsid w:val="00DD2F6F"/>
    <w:rsid w:val="00DE3C42"/>
    <w:rsid w:val="00DE40BF"/>
    <w:rsid w:val="00DF6E86"/>
    <w:rsid w:val="00DF7BF8"/>
    <w:rsid w:val="00DF7C3C"/>
    <w:rsid w:val="00E1611D"/>
    <w:rsid w:val="00E1714E"/>
    <w:rsid w:val="00E177C8"/>
    <w:rsid w:val="00E31A44"/>
    <w:rsid w:val="00E36334"/>
    <w:rsid w:val="00E448D8"/>
    <w:rsid w:val="00E44E44"/>
    <w:rsid w:val="00E456F2"/>
    <w:rsid w:val="00E52C31"/>
    <w:rsid w:val="00E723A1"/>
    <w:rsid w:val="00E7770B"/>
    <w:rsid w:val="00E84885"/>
    <w:rsid w:val="00ED2F1B"/>
    <w:rsid w:val="00EE2BD9"/>
    <w:rsid w:val="00EF0ADB"/>
    <w:rsid w:val="00EF1C52"/>
    <w:rsid w:val="00EF3C38"/>
    <w:rsid w:val="00F10C5B"/>
    <w:rsid w:val="00F12756"/>
    <w:rsid w:val="00F157BD"/>
    <w:rsid w:val="00F20212"/>
    <w:rsid w:val="00F27402"/>
    <w:rsid w:val="00F37A4A"/>
    <w:rsid w:val="00F42D13"/>
    <w:rsid w:val="00F51E46"/>
    <w:rsid w:val="00F54692"/>
    <w:rsid w:val="00F56E1F"/>
    <w:rsid w:val="00F64F7C"/>
    <w:rsid w:val="00F75293"/>
    <w:rsid w:val="00F95C3C"/>
    <w:rsid w:val="00FA3B44"/>
    <w:rsid w:val="00FA541E"/>
    <w:rsid w:val="00FB1F2E"/>
    <w:rsid w:val="00FC5F06"/>
    <w:rsid w:val="00FC7C2A"/>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B02A4D-8F0E-4066-8FB9-39915B73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C7C2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C7C2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7E3B84"/>
    <w:rPr>
      <w:color w:val="7F7F7F"/>
      <w:sz w:val="14"/>
    </w:rPr>
  </w:style>
  <w:style w:type="character" w:customStyle="1" w:styleId="AlatunnisteChar">
    <w:name w:val="Alatunniste Char"/>
    <w:basedOn w:val="Kappaleenoletusfontti"/>
    <w:link w:val="Alatunniste"/>
    <w:uiPriority w:val="99"/>
    <w:rsid w:val="007E3B84"/>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Vaintekstin">
    <w:name w:val="Plain Text"/>
    <w:basedOn w:val="Normaali"/>
    <w:link w:val="VaintekstinChar"/>
    <w:uiPriority w:val="99"/>
    <w:unhideWhenUsed/>
    <w:rsid w:val="00053174"/>
    <w:rPr>
      <w:rFonts w:ascii="Calibri" w:hAnsi="Calibri" w:cs="Times New Roman"/>
      <w:sz w:val="22"/>
      <w:szCs w:val="22"/>
    </w:rPr>
  </w:style>
  <w:style w:type="character" w:customStyle="1" w:styleId="VaintekstinChar">
    <w:name w:val="Vain tekstinä Char"/>
    <w:basedOn w:val="Kappaleenoletusfontti"/>
    <w:link w:val="Vaintekstin"/>
    <w:uiPriority w:val="99"/>
    <w:rsid w:val="00053174"/>
    <w:rPr>
      <w:rFonts w:ascii="Calibri" w:hAnsi="Calibri" w:cs="Times New Roman"/>
      <w:sz w:val="22"/>
      <w:szCs w:val="22"/>
    </w:rPr>
  </w:style>
  <w:style w:type="paragraph" w:customStyle="1" w:styleId="Default">
    <w:name w:val="Default"/>
    <w:rsid w:val="00F10C5B"/>
    <w:pPr>
      <w:autoSpaceDE w:val="0"/>
      <w:autoSpaceDN w:val="0"/>
      <w:adjustRightInd w:val="0"/>
    </w:pPr>
    <w:rPr>
      <w:rFonts w:ascii="Verdana" w:hAnsi="Verdana" w:cs="Verdana"/>
      <w:color w:val="000000"/>
      <w:sz w:val="24"/>
      <w:szCs w:val="24"/>
    </w:rPr>
  </w:style>
  <w:style w:type="paragraph" w:styleId="Luettelokappale">
    <w:name w:val="List Paragraph"/>
    <w:basedOn w:val="Normaali"/>
    <w:uiPriority w:val="34"/>
    <w:rsid w:val="00556C46"/>
    <w:pPr>
      <w:ind w:left="720"/>
      <w:contextualSpacing/>
    </w:pPr>
  </w:style>
  <w:style w:type="paragraph" w:styleId="Leipteksti2">
    <w:name w:val="Body Text 2"/>
    <w:basedOn w:val="Normaali"/>
    <w:link w:val="Leipteksti2Char"/>
    <w:uiPriority w:val="99"/>
    <w:semiHidden/>
    <w:unhideWhenUsed/>
    <w:rsid w:val="004952F1"/>
    <w:pPr>
      <w:spacing w:after="120" w:line="480" w:lineRule="auto"/>
    </w:pPr>
  </w:style>
  <w:style w:type="character" w:customStyle="1" w:styleId="Leipteksti2Char">
    <w:name w:val="Leipäteksti 2 Char"/>
    <w:basedOn w:val="Kappaleenoletusfontti"/>
    <w:link w:val="Leipteksti2"/>
    <w:uiPriority w:val="99"/>
    <w:semiHidden/>
    <w:rsid w:val="0049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141">
      <w:bodyDiv w:val="1"/>
      <w:marLeft w:val="0"/>
      <w:marRight w:val="0"/>
      <w:marTop w:val="0"/>
      <w:marBottom w:val="0"/>
      <w:divBdr>
        <w:top w:val="none" w:sz="0" w:space="0" w:color="auto"/>
        <w:left w:val="none" w:sz="0" w:space="0" w:color="auto"/>
        <w:bottom w:val="none" w:sz="0" w:space="0" w:color="auto"/>
        <w:right w:val="none" w:sz="0" w:space="0" w:color="auto"/>
      </w:divBdr>
    </w:div>
    <w:div w:id="19284069">
      <w:bodyDiv w:val="1"/>
      <w:marLeft w:val="0"/>
      <w:marRight w:val="0"/>
      <w:marTop w:val="0"/>
      <w:marBottom w:val="0"/>
      <w:divBdr>
        <w:top w:val="none" w:sz="0" w:space="0" w:color="auto"/>
        <w:left w:val="none" w:sz="0" w:space="0" w:color="auto"/>
        <w:bottom w:val="none" w:sz="0" w:space="0" w:color="auto"/>
        <w:right w:val="none" w:sz="0" w:space="0" w:color="auto"/>
      </w:divBdr>
    </w:div>
    <w:div w:id="374936750">
      <w:bodyDiv w:val="1"/>
      <w:marLeft w:val="0"/>
      <w:marRight w:val="0"/>
      <w:marTop w:val="0"/>
      <w:marBottom w:val="0"/>
      <w:divBdr>
        <w:top w:val="none" w:sz="0" w:space="0" w:color="auto"/>
        <w:left w:val="none" w:sz="0" w:space="0" w:color="auto"/>
        <w:bottom w:val="none" w:sz="0" w:space="0" w:color="auto"/>
        <w:right w:val="none" w:sz="0" w:space="0" w:color="auto"/>
      </w:divBdr>
    </w:div>
    <w:div w:id="440149623">
      <w:bodyDiv w:val="1"/>
      <w:marLeft w:val="0"/>
      <w:marRight w:val="0"/>
      <w:marTop w:val="0"/>
      <w:marBottom w:val="0"/>
      <w:divBdr>
        <w:top w:val="none" w:sz="0" w:space="0" w:color="auto"/>
        <w:left w:val="none" w:sz="0" w:space="0" w:color="auto"/>
        <w:bottom w:val="none" w:sz="0" w:space="0" w:color="auto"/>
        <w:right w:val="none" w:sz="0" w:space="0" w:color="auto"/>
      </w:divBdr>
    </w:div>
    <w:div w:id="627704206">
      <w:bodyDiv w:val="1"/>
      <w:marLeft w:val="0"/>
      <w:marRight w:val="0"/>
      <w:marTop w:val="0"/>
      <w:marBottom w:val="0"/>
      <w:divBdr>
        <w:top w:val="none" w:sz="0" w:space="0" w:color="auto"/>
        <w:left w:val="none" w:sz="0" w:space="0" w:color="auto"/>
        <w:bottom w:val="none" w:sz="0" w:space="0" w:color="auto"/>
        <w:right w:val="none" w:sz="0" w:space="0" w:color="auto"/>
      </w:divBdr>
    </w:div>
    <w:div w:id="1744796222">
      <w:bodyDiv w:val="1"/>
      <w:marLeft w:val="0"/>
      <w:marRight w:val="0"/>
      <w:marTop w:val="0"/>
      <w:marBottom w:val="0"/>
      <w:divBdr>
        <w:top w:val="none" w:sz="0" w:space="0" w:color="auto"/>
        <w:left w:val="none" w:sz="0" w:space="0" w:color="auto"/>
        <w:bottom w:val="none" w:sz="0" w:space="0" w:color="auto"/>
        <w:right w:val="none" w:sz="0" w:space="0" w:color="auto"/>
      </w:divBdr>
    </w:div>
    <w:div w:id="1841652499">
      <w:bodyDiv w:val="1"/>
      <w:marLeft w:val="0"/>
      <w:marRight w:val="0"/>
      <w:marTop w:val="0"/>
      <w:marBottom w:val="0"/>
      <w:divBdr>
        <w:top w:val="none" w:sz="0" w:space="0" w:color="auto"/>
        <w:left w:val="none" w:sz="0" w:space="0" w:color="auto"/>
        <w:bottom w:val="none" w:sz="0" w:space="0" w:color="auto"/>
        <w:right w:val="none" w:sz="0" w:space="0" w:color="auto"/>
      </w:divBdr>
    </w:div>
    <w:div w:id="19739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iMaa\Appdata\Roaming\Microsoft\Templates\Kuntaliitto\Lausunto%20ei%20nauha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CC1B18C18B4AA188ACAE9102364B39"/>
        <w:category>
          <w:name w:val="Yleiset"/>
          <w:gallery w:val="placeholder"/>
        </w:category>
        <w:types>
          <w:type w:val="bbPlcHdr"/>
        </w:types>
        <w:behaviors>
          <w:behavior w:val="content"/>
        </w:behaviors>
        <w:guid w:val="{0C43F24C-08EA-44D5-900A-1A5F3C2F7665}"/>
      </w:docPartPr>
      <w:docPartBody>
        <w:p w:rsidR="003452E3" w:rsidRDefault="008C1CF4" w:rsidP="008C1CF4">
          <w:pPr>
            <w:pStyle w:val="14CC1B18C18B4AA188ACAE9102364B39"/>
          </w:pPr>
          <w:r w:rsidRPr="00CF438D">
            <w:rPr>
              <w:rStyle w:val="Paikkamerkkiteksti"/>
            </w:rPr>
            <w:t>[Vastaanottaja]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57"/>
    <w:rsid w:val="000502D2"/>
    <w:rsid w:val="00293199"/>
    <w:rsid w:val="002B1142"/>
    <w:rsid w:val="003452E3"/>
    <w:rsid w:val="00471957"/>
    <w:rsid w:val="004A5D6C"/>
    <w:rsid w:val="0050380E"/>
    <w:rsid w:val="005C5E5C"/>
    <w:rsid w:val="008538D2"/>
    <w:rsid w:val="008C1CF4"/>
    <w:rsid w:val="00AB156A"/>
    <w:rsid w:val="00B2233E"/>
    <w:rsid w:val="00BA0C94"/>
    <w:rsid w:val="00C13D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C1CF4"/>
    <w:rPr>
      <w:color w:val="auto"/>
    </w:rPr>
  </w:style>
  <w:style w:type="paragraph" w:customStyle="1" w:styleId="0853F59310E24676A2E9AA1E8EF0C509">
    <w:name w:val="0853F59310E24676A2E9AA1E8EF0C509"/>
  </w:style>
  <w:style w:type="paragraph" w:customStyle="1" w:styleId="CCF6C4AAB1794731A69A46614D7ADD53">
    <w:name w:val="CCF6C4AAB1794731A69A46614D7ADD53"/>
  </w:style>
  <w:style w:type="paragraph" w:customStyle="1" w:styleId="8388474E911240D08EFC415CAFDB066F">
    <w:name w:val="8388474E911240D08EFC415CAFDB066F"/>
  </w:style>
  <w:style w:type="paragraph" w:customStyle="1" w:styleId="1093836B118243DAB27684C666288985">
    <w:name w:val="1093836B118243DAB27684C666288985"/>
  </w:style>
  <w:style w:type="paragraph" w:customStyle="1" w:styleId="94ECD26668264FD8A1DA1D7686FA1D72">
    <w:name w:val="94ECD26668264FD8A1DA1D7686FA1D72"/>
  </w:style>
  <w:style w:type="paragraph" w:customStyle="1" w:styleId="0D00F41A94A34F43BC0BFABA3DB199CA">
    <w:name w:val="0D00F41A94A34F43BC0BFABA3DB199CA"/>
  </w:style>
  <w:style w:type="paragraph" w:customStyle="1" w:styleId="F009C4F57CD846259BB51FBC1BF53518">
    <w:name w:val="F009C4F57CD846259BB51FBC1BF53518"/>
  </w:style>
  <w:style w:type="paragraph" w:customStyle="1" w:styleId="B35F44DF61C040B28EE0495223A0DEBD">
    <w:name w:val="B35F44DF61C040B28EE0495223A0DEBD"/>
  </w:style>
  <w:style w:type="paragraph" w:customStyle="1" w:styleId="75253ABD98964C43AB38B61C5110776E">
    <w:name w:val="75253ABD98964C43AB38B61C5110776E"/>
  </w:style>
  <w:style w:type="paragraph" w:customStyle="1" w:styleId="3A71226F44A049F6882071CE011DD7DE">
    <w:name w:val="3A71226F44A049F6882071CE011DD7DE"/>
  </w:style>
  <w:style w:type="paragraph" w:customStyle="1" w:styleId="2DA7FC248242423F9D15DFEA1AEE6679">
    <w:name w:val="2DA7FC248242423F9D15DFEA1AEE6679"/>
    <w:rsid w:val="008C1CF4"/>
  </w:style>
  <w:style w:type="paragraph" w:customStyle="1" w:styleId="14CC1B18C18B4AA188ACAE9102364B39">
    <w:name w:val="14CC1B18C18B4AA188ACAE9102364B39"/>
    <w:rsid w:val="008C1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C151-F8B8-4512-B7C4-92F46565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Lausunto ei nauhaa.dotx</Template>
  <TotalTime>1</TotalTime>
  <Pages>3</Pages>
  <Words>568</Words>
  <Characters>4605</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 39/2017vp Hallituksen esitys eduskunnalle laiksi ammatillisesta koulutuksesta ja eräiksi siihen liittyviksi laeiksi</vt:lpstr>
      <vt:lpstr/>
    </vt:vector>
  </TitlesOfParts>
  <Company>Kuntaliitto</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39/2017vp Hallituksen esitys eduskunnalle laiksi ammatillisesta koulutuksesta ja eräiksi siihen liittyviksi laeiksi</dc:title>
  <dc:creator>Kallio-Savela Maarit</dc:creator>
  <cp:lastModifiedBy>Puura Minna</cp:lastModifiedBy>
  <cp:revision>2</cp:revision>
  <cp:lastPrinted>2017-05-17T09:32:00Z</cp:lastPrinted>
  <dcterms:created xsi:type="dcterms:W3CDTF">2017-05-18T12:59:00Z</dcterms:created>
  <dcterms:modified xsi:type="dcterms:W3CDTF">2017-05-18T12:59:00Z</dcterms:modified>
</cp:coreProperties>
</file>