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E86" w:rsidRDefault="00CD42A5" w:rsidP="00DF6E86">
      <w:r>
        <w:t>Opetus- ja kulttuuriministeriö</w:t>
      </w:r>
    </w:p>
    <w:p w:rsidR="00DF6E86" w:rsidRDefault="00343A31" w:rsidP="00DF6E86">
      <w:hyperlink r:id="rId7" w:history="1">
        <w:r w:rsidRPr="00536C19">
          <w:rPr>
            <w:rStyle w:val="Hyperlinkki"/>
          </w:rPr>
          <w:t>katri.santtila@minedu.fi</w:t>
        </w:r>
      </w:hyperlink>
    </w:p>
    <w:p w:rsidR="00343A31" w:rsidRPr="00CF438D" w:rsidRDefault="00343A31" w:rsidP="00DF6E86">
      <w:hyperlink r:id="rId8" w:history="1">
        <w:r w:rsidRPr="00536C19">
          <w:rPr>
            <w:rStyle w:val="Hyperlinkki"/>
          </w:rPr>
          <w:t>tiina.eerikainen@minedu.fi</w:t>
        </w:r>
      </w:hyperlink>
      <w:r>
        <w:t xml:space="preserve"> </w:t>
      </w:r>
      <w:bookmarkStart w:id="0" w:name="_GoBack"/>
      <w:bookmarkEnd w:id="0"/>
    </w:p>
    <w:p w:rsidR="00DF6E86" w:rsidRPr="00CF438D" w:rsidRDefault="00DF6E86" w:rsidP="00DF6E86"/>
    <w:p w:rsidR="00DF6E86" w:rsidRPr="00CF438D" w:rsidRDefault="00DF6E86" w:rsidP="00DF6E86"/>
    <w:sdt>
      <w:sdtPr>
        <w:alias w:val="Otsikko"/>
        <w:tag w:val=""/>
        <w:id w:val="2083794290"/>
        <w:placeholder>
          <w:docPart w:val="B329B15C08FE4AC280563818121F1E8D"/>
        </w:placeholder>
        <w:dataBinding w:prefixMappings="xmlns:ns0='http://purl.org/dc/elements/1.1/' xmlns:ns1='http://schemas.openxmlformats.org/package/2006/metadata/core-properties' " w:xpath="/ns1:coreProperties[1]/ns0:title[1]" w:storeItemID="{6C3C8BC8-F283-45AE-878A-BAB7291924A1}"/>
        <w:text/>
      </w:sdtPr>
      <w:sdtEndPr/>
      <w:sdtContent>
        <w:p w:rsidR="00A17AA6" w:rsidRPr="00CF438D" w:rsidRDefault="00991E87" w:rsidP="00704830">
          <w:pPr>
            <w:pStyle w:val="Otsikko"/>
          </w:pPr>
          <w:r>
            <w:t>Suomen Kuntaliiton eriävä mielipide työryhmän esitykseen</w:t>
          </w:r>
          <w:r w:rsidR="008945E1">
            <w:t xml:space="preserve"> kulttuurin valtionosuusjärjestelmän uudistamiseksi</w:t>
          </w:r>
        </w:p>
      </w:sdtContent>
    </w:sdt>
    <w:p w:rsidR="00605418" w:rsidRDefault="00B77682" w:rsidP="00CD42A5">
      <w:pPr>
        <w:ind w:left="1304"/>
        <w:rPr>
          <w:sz w:val="20"/>
          <w:szCs w:val="20"/>
        </w:rPr>
      </w:pPr>
      <w:r w:rsidRPr="00B77682">
        <w:rPr>
          <w:sz w:val="20"/>
          <w:szCs w:val="20"/>
        </w:rPr>
        <w:t xml:space="preserve">Kuntaliitto ei kannata työryhmän esitystä, </w:t>
      </w:r>
      <w:r>
        <w:rPr>
          <w:sz w:val="20"/>
          <w:szCs w:val="20"/>
        </w:rPr>
        <w:t xml:space="preserve">jonka mukaan </w:t>
      </w:r>
      <w:r w:rsidR="00B85127">
        <w:rPr>
          <w:sz w:val="20"/>
          <w:szCs w:val="20"/>
        </w:rPr>
        <w:t xml:space="preserve">päätös </w:t>
      </w:r>
      <w:r w:rsidR="00605418">
        <w:rPr>
          <w:sz w:val="20"/>
          <w:szCs w:val="20"/>
        </w:rPr>
        <w:t xml:space="preserve">esittävän taiteen </w:t>
      </w:r>
      <w:r w:rsidR="00B85127">
        <w:rPr>
          <w:sz w:val="20"/>
          <w:szCs w:val="20"/>
        </w:rPr>
        <w:t xml:space="preserve">toimintayksikön hyväksymisestä </w:t>
      </w:r>
      <w:r>
        <w:rPr>
          <w:sz w:val="20"/>
          <w:szCs w:val="20"/>
        </w:rPr>
        <w:t xml:space="preserve">valtionosuuteen oikeutetuksi tehtäisiin </w:t>
      </w:r>
      <w:r w:rsidR="00B85127">
        <w:rPr>
          <w:sz w:val="20"/>
          <w:szCs w:val="20"/>
        </w:rPr>
        <w:t>määräaikaise</w:t>
      </w:r>
      <w:r w:rsidR="00510B85">
        <w:rPr>
          <w:sz w:val="20"/>
          <w:szCs w:val="20"/>
        </w:rPr>
        <w:t>ksi</w:t>
      </w:r>
      <w:r w:rsidR="00B85127">
        <w:rPr>
          <w:sz w:val="20"/>
          <w:szCs w:val="20"/>
        </w:rPr>
        <w:t xml:space="preserve">. </w:t>
      </w:r>
      <w:r w:rsidR="008945E1">
        <w:rPr>
          <w:sz w:val="20"/>
          <w:szCs w:val="20"/>
        </w:rPr>
        <w:t>Määräaikaisuus koskee työryhmän esitystä laiksi esittävän taiteen edistämise</w:t>
      </w:r>
      <w:r w:rsidR="00543266">
        <w:rPr>
          <w:sz w:val="20"/>
          <w:szCs w:val="20"/>
        </w:rPr>
        <w:t>stä</w:t>
      </w:r>
      <w:r w:rsidR="008945E1">
        <w:rPr>
          <w:sz w:val="20"/>
          <w:szCs w:val="20"/>
        </w:rPr>
        <w:t>, sen 5 ja 7 pykälää.</w:t>
      </w:r>
    </w:p>
    <w:p w:rsidR="00510B85" w:rsidRDefault="00CB3D4A" w:rsidP="00605418">
      <w:pPr>
        <w:ind w:left="2608"/>
        <w:rPr>
          <w:sz w:val="20"/>
          <w:szCs w:val="20"/>
        </w:rPr>
      </w:pPr>
      <w:r>
        <w:rPr>
          <w:sz w:val="20"/>
          <w:szCs w:val="20"/>
        </w:rPr>
        <w:t>Toistaiseksi voimassa oleva oikeus valtionosuuteen ei ole ollut esteenä uusien ja valtionosuuden saamisen edellytykset täyttävien toimintayksiköiden mukaan ottamiselle</w:t>
      </w:r>
      <w:r w:rsidR="00510B85">
        <w:rPr>
          <w:sz w:val="20"/>
          <w:szCs w:val="20"/>
        </w:rPr>
        <w:t xml:space="preserve"> valtionosuuden piiriin</w:t>
      </w:r>
      <w:r w:rsidR="00605418">
        <w:rPr>
          <w:sz w:val="20"/>
          <w:szCs w:val="20"/>
        </w:rPr>
        <w:t xml:space="preserve">. Nykyisen järjestelmän aikana on uusia teattereita otettu järjestelmän piiriin yhdeksän ja orkestereita viisi. </w:t>
      </w:r>
    </w:p>
    <w:p w:rsidR="00510B85" w:rsidRDefault="00510B85" w:rsidP="00605418">
      <w:pPr>
        <w:ind w:left="2608"/>
        <w:rPr>
          <w:sz w:val="20"/>
          <w:szCs w:val="20"/>
        </w:rPr>
      </w:pPr>
    </w:p>
    <w:p w:rsidR="00605418" w:rsidRDefault="00605418" w:rsidP="00605418">
      <w:pPr>
        <w:ind w:left="2608"/>
        <w:rPr>
          <w:sz w:val="20"/>
          <w:szCs w:val="20"/>
        </w:rPr>
      </w:pPr>
      <w:r>
        <w:rPr>
          <w:sz w:val="20"/>
          <w:szCs w:val="20"/>
        </w:rPr>
        <w:t xml:space="preserve">Esteenä uusien </w:t>
      </w:r>
      <w:r w:rsidR="008945E1">
        <w:rPr>
          <w:sz w:val="20"/>
          <w:szCs w:val="20"/>
        </w:rPr>
        <w:t xml:space="preserve">toimijoiden </w:t>
      </w:r>
      <w:r>
        <w:rPr>
          <w:sz w:val="20"/>
          <w:szCs w:val="20"/>
        </w:rPr>
        <w:t xml:space="preserve">mukaan ottamiselle on ollut </w:t>
      </w:r>
      <w:r w:rsidR="00662D5C">
        <w:rPr>
          <w:sz w:val="20"/>
          <w:szCs w:val="20"/>
        </w:rPr>
        <w:t xml:space="preserve">ensisijaisesti </w:t>
      </w:r>
      <w:r w:rsidR="00CB3D4A">
        <w:rPr>
          <w:sz w:val="20"/>
          <w:szCs w:val="20"/>
        </w:rPr>
        <w:t xml:space="preserve">valtionrahoituksen </w:t>
      </w:r>
      <w:r>
        <w:rPr>
          <w:sz w:val="20"/>
          <w:szCs w:val="20"/>
        </w:rPr>
        <w:t>rajallisuus</w:t>
      </w:r>
      <w:r w:rsidR="00CB3D4A">
        <w:rPr>
          <w:sz w:val="20"/>
          <w:szCs w:val="20"/>
        </w:rPr>
        <w:t xml:space="preserve"> </w:t>
      </w:r>
      <w:r w:rsidR="008945E1">
        <w:rPr>
          <w:sz w:val="20"/>
          <w:szCs w:val="20"/>
        </w:rPr>
        <w:t>sekä erikseen valtionrahoitukseen tehdyt säästöt</w:t>
      </w:r>
      <w:r w:rsidR="00CB3D4A">
        <w:rPr>
          <w:sz w:val="20"/>
          <w:szCs w:val="20"/>
        </w:rPr>
        <w:t>.</w:t>
      </w:r>
      <w:r>
        <w:rPr>
          <w:sz w:val="20"/>
          <w:szCs w:val="20"/>
        </w:rPr>
        <w:t xml:space="preserve"> Vastaava tilanne näkyi jo vuoden 2007 hallituksen esityksessä 45/2007 teatteri- ja orkesterilain muuttamiseksi</w:t>
      </w:r>
      <w:r w:rsidR="00662D5C">
        <w:rPr>
          <w:sz w:val="20"/>
          <w:szCs w:val="20"/>
        </w:rPr>
        <w:t xml:space="preserve">: </w:t>
      </w:r>
      <w:r>
        <w:rPr>
          <w:sz w:val="20"/>
          <w:szCs w:val="20"/>
        </w:rPr>
        <w:t>”</w:t>
      </w:r>
      <w:r w:rsidRPr="00605418">
        <w:rPr>
          <w:sz w:val="20"/>
          <w:szCs w:val="20"/>
        </w:rPr>
        <w:t xml:space="preserve">Valtion talousarviossa oleva henkilötyövuosimäärä niin teattereille kuin orkestereille on jäänyt merkittävästi jälkeen todellisesta tilanteesta. Tästä johtuen ei useampia uusia toimijoita ole voitu hyväksyä valtionosuuden piiriin, vaikka esimerkiksi noin kymmenen teatteri- ja orkesterilain edellytykset täyttävää tanssi- tai puheteatteria on hakenut valtionosuutta.” </w:t>
      </w:r>
    </w:p>
    <w:p w:rsidR="00605418" w:rsidRDefault="00605418" w:rsidP="00CD42A5">
      <w:pPr>
        <w:ind w:left="1304"/>
        <w:rPr>
          <w:sz w:val="20"/>
          <w:szCs w:val="20"/>
        </w:rPr>
      </w:pPr>
    </w:p>
    <w:p w:rsidR="00B77682" w:rsidRDefault="00605418" w:rsidP="00605418">
      <w:pPr>
        <w:ind w:left="2608"/>
        <w:rPr>
          <w:sz w:val="20"/>
          <w:szCs w:val="20"/>
        </w:rPr>
      </w:pPr>
      <w:r>
        <w:rPr>
          <w:sz w:val="20"/>
          <w:szCs w:val="20"/>
        </w:rPr>
        <w:t xml:space="preserve">Valtionosuusmäärärahan vähyys on näkynyt mm. käytettävissä olevien henkilötyövuosien määrän ja todellisten henkilötyövuosien määrän eron kasvuna sekä valtinosuusmäärärahaan vuodesta 2012 alkaen tehtyinä leikkauksina ja lisäsääntöinä (yhteisvaikutus 20 miljoonaa euroa). </w:t>
      </w:r>
      <w:r w:rsidR="00CB3D4A">
        <w:rPr>
          <w:sz w:val="20"/>
          <w:szCs w:val="20"/>
        </w:rPr>
        <w:t xml:space="preserve"> </w:t>
      </w:r>
      <w:r w:rsidR="00B77682">
        <w:rPr>
          <w:sz w:val="20"/>
          <w:szCs w:val="20"/>
        </w:rPr>
        <w:t xml:space="preserve"> </w:t>
      </w:r>
    </w:p>
    <w:p w:rsidR="00B85127" w:rsidRDefault="00B85127" w:rsidP="00CD42A5">
      <w:pPr>
        <w:ind w:left="1304"/>
        <w:rPr>
          <w:sz w:val="20"/>
          <w:szCs w:val="20"/>
        </w:rPr>
      </w:pPr>
    </w:p>
    <w:p w:rsidR="008945E1" w:rsidRDefault="00B85127" w:rsidP="00CD42A5">
      <w:pPr>
        <w:ind w:left="1304"/>
        <w:rPr>
          <w:sz w:val="20"/>
          <w:szCs w:val="20"/>
        </w:rPr>
      </w:pPr>
      <w:r>
        <w:rPr>
          <w:sz w:val="20"/>
          <w:szCs w:val="20"/>
        </w:rPr>
        <w:t>Suomen Kuntaliitto näkee huolestuttavana ehdotuks</w:t>
      </w:r>
      <w:r w:rsidR="00662D5C">
        <w:rPr>
          <w:sz w:val="20"/>
          <w:szCs w:val="20"/>
        </w:rPr>
        <w:t>en, jonka mukaan toimintayksiköt</w:t>
      </w:r>
      <w:r>
        <w:rPr>
          <w:sz w:val="20"/>
          <w:szCs w:val="20"/>
        </w:rPr>
        <w:t xml:space="preserve"> jaetaan </w:t>
      </w:r>
      <w:r w:rsidR="00662D5C">
        <w:rPr>
          <w:sz w:val="20"/>
          <w:szCs w:val="20"/>
        </w:rPr>
        <w:t xml:space="preserve">opetus- ja kulttuuriministeriön kokonaisharkintaan perustuvalla päätöksellä </w:t>
      </w:r>
      <w:r w:rsidR="008945E1">
        <w:rPr>
          <w:sz w:val="20"/>
          <w:szCs w:val="20"/>
        </w:rPr>
        <w:t xml:space="preserve">valtionosuutta koskevan </w:t>
      </w:r>
      <w:r>
        <w:rPr>
          <w:sz w:val="20"/>
          <w:szCs w:val="20"/>
        </w:rPr>
        <w:t xml:space="preserve">määräajan keston mukaan kahteen ryhmään, </w:t>
      </w:r>
      <w:r w:rsidR="006E69FB">
        <w:rPr>
          <w:sz w:val="20"/>
          <w:szCs w:val="20"/>
        </w:rPr>
        <w:t>6- ja 3- vuotisiin.</w:t>
      </w:r>
      <w:r>
        <w:rPr>
          <w:sz w:val="20"/>
          <w:szCs w:val="20"/>
        </w:rPr>
        <w:t xml:space="preserve"> Kuntaliiton näkemyksen mukaan</w:t>
      </w:r>
      <w:r w:rsidR="00771DB2">
        <w:rPr>
          <w:sz w:val="20"/>
          <w:szCs w:val="20"/>
        </w:rPr>
        <w:t xml:space="preserve"> määräaikaisuus ylipäätään, ja e</w:t>
      </w:r>
      <w:r w:rsidR="006E69FB">
        <w:rPr>
          <w:sz w:val="20"/>
          <w:szCs w:val="20"/>
        </w:rPr>
        <w:t xml:space="preserve">rityisesti </w:t>
      </w:r>
      <w:r>
        <w:rPr>
          <w:sz w:val="20"/>
          <w:szCs w:val="20"/>
        </w:rPr>
        <w:t>3 vuo</w:t>
      </w:r>
      <w:r w:rsidR="00771DB2">
        <w:rPr>
          <w:sz w:val="20"/>
          <w:szCs w:val="20"/>
        </w:rPr>
        <w:t>den määräaikaisuus</w:t>
      </w:r>
      <w:r>
        <w:rPr>
          <w:sz w:val="20"/>
          <w:szCs w:val="20"/>
        </w:rPr>
        <w:t xml:space="preserve"> on </w:t>
      </w:r>
      <w:r w:rsidR="00771DB2">
        <w:rPr>
          <w:sz w:val="20"/>
          <w:szCs w:val="20"/>
        </w:rPr>
        <w:t>l</w:t>
      </w:r>
      <w:r>
        <w:rPr>
          <w:sz w:val="20"/>
          <w:szCs w:val="20"/>
        </w:rPr>
        <w:t>iian lyhyt aika pysyvään, tavoitteelliseen kehittämistyöhön ja ei</w:t>
      </w:r>
      <w:r w:rsidR="00662D5C">
        <w:rPr>
          <w:sz w:val="20"/>
          <w:szCs w:val="20"/>
        </w:rPr>
        <w:t>kä se</w:t>
      </w:r>
      <w:r>
        <w:rPr>
          <w:sz w:val="20"/>
          <w:szCs w:val="20"/>
        </w:rPr>
        <w:t xml:space="preserve"> lisää järjestelmän ennustettavuutta eikä pitkäjänteisyyttä.</w:t>
      </w:r>
    </w:p>
    <w:p w:rsidR="00B85127" w:rsidRDefault="008945E1" w:rsidP="008945E1">
      <w:pPr>
        <w:ind w:left="2608"/>
        <w:rPr>
          <w:sz w:val="20"/>
          <w:szCs w:val="20"/>
        </w:rPr>
      </w:pPr>
      <w:r>
        <w:rPr>
          <w:sz w:val="20"/>
          <w:szCs w:val="20"/>
        </w:rPr>
        <w:t>Esityksen nykyt</w:t>
      </w:r>
      <w:r w:rsidR="00771DB2">
        <w:rPr>
          <w:sz w:val="20"/>
          <w:szCs w:val="20"/>
        </w:rPr>
        <w:t xml:space="preserve">ilan arvioinnissa todetaan, </w:t>
      </w:r>
      <w:r>
        <w:rPr>
          <w:sz w:val="20"/>
          <w:szCs w:val="20"/>
        </w:rPr>
        <w:t>että ”</w:t>
      </w:r>
      <w:r w:rsidR="00B85127">
        <w:rPr>
          <w:sz w:val="20"/>
          <w:szCs w:val="20"/>
        </w:rPr>
        <w:t xml:space="preserve"> </w:t>
      </w:r>
      <w:r w:rsidRPr="008945E1">
        <w:rPr>
          <w:sz w:val="20"/>
          <w:szCs w:val="20"/>
        </w:rPr>
        <w:t>Valtionosuusrahoitus on sen piirissä olevien taide- ja kulttuurilaitosten kannalta pitkäjänteistä ja rahoituksen perusperiaatteet ovat selkeät. Henkilötyövuosiperusteisuus kohtelee erityyppisiä toimijoita tasapuolisesti ja on turvannut säästö- ja muutostilanteissa työpaikkoja ja mahdollistanut freelancer-työvoiman ja ostopalveluiden käyttämisen. Museolaki sekä teatteri- ja orkesterilaki toimivat myös alan ammatillisuuden ja kehittämisen työkaluina.</w:t>
      </w:r>
      <w:r>
        <w:rPr>
          <w:sz w:val="20"/>
          <w:szCs w:val="20"/>
        </w:rPr>
        <w:t>”</w:t>
      </w:r>
    </w:p>
    <w:p w:rsidR="00B85127" w:rsidRDefault="00B85127" w:rsidP="00CD42A5">
      <w:pPr>
        <w:ind w:left="1304"/>
        <w:rPr>
          <w:sz w:val="20"/>
          <w:szCs w:val="20"/>
        </w:rPr>
      </w:pPr>
    </w:p>
    <w:p w:rsidR="005E7660" w:rsidRDefault="00B85127" w:rsidP="00CD42A5">
      <w:pPr>
        <w:ind w:left="1304"/>
        <w:rPr>
          <w:sz w:val="20"/>
          <w:szCs w:val="20"/>
        </w:rPr>
      </w:pPr>
      <w:r>
        <w:rPr>
          <w:sz w:val="20"/>
          <w:szCs w:val="20"/>
        </w:rPr>
        <w:t xml:space="preserve">Suomen Kuntaliitto ihmettelee työryhmän esityksessä vahvasti näkyvää vaihtuvuuden tavoittelua. </w:t>
      </w:r>
      <w:r w:rsidR="00605418">
        <w:rPr>
          <w:sz w:val="20"/>
          <w:szCs w:val="20"/>
        </w:rPr>
        <w:t>Työryhmän ase</w:t>
      </w:r>
      <w:r w:rsidR="005E7660">
        <w:rPr>
          <w:sz w:val="20"/>
          <w:szCs w:val="20"/>
        </w:rPr>
        <w:t xml:space="preserve">ttamispäätöksessä (OKM/42/040/2016) työryhmän </w:t>
      </w:r>
      <w:r w:rsidR="005E7660">
        <w:rPr>
          <w:sz w:val="20"/>
          <w:szCs w:val="20"/>
        </w:rPr>
        <w:lastRenderedPageBreak/>
        <w:t xml:space="preserve">tehtävänä on ennen kaikkea ottaa huomioon toimijakentässä ja yhteiskunnassa tapahtuneet muutokset, tukea laadukasta ja vaikuttavaa toimintaa sekä kannustaa uudistuksiin. </w:t>
      </w:r>
    </w:p>
    <w:p w:rsidR="00B85127" w:rsidRDefault="00B85127" w:rsidP="005E7660">
      <w:pPr>
        <w:ind w:left="2608"/>
        <w:rPr>
          <w:sz w:val="20"/>
          <w:szCs w:val="20"/>
        </w:rPr>
      </w:pPr>
      <w:r>
        <w:rPr>
          <w:sz w:val="20"/>
          <w:szCs w:val="20"/>
        </w:rPr>
        <w:t xml:space="preserve">Taiteellisista lähtökohdista järjestettävä pysyvä ammatillinen toiminta vaatii </w:t>
      </w:r>
      <w:r w:rsidR="006E55ED">
        <w:rPr>
          <w:sz w:val="20"/>
          <w:szCs w:val="20"/>
        </w:rPr>
        <w:t>riittävän ja ennakoidun rahoituksen.</w:t>
      </w:r>
      <w:r>
        <w:rPr>
          <w:sz w:val="20"/>
          <w:szCs w:val="20"/>
        </w:rPr>
        <w:t xml:space="preserve"> Tämän </w:t>
      </w:r>
      <w:r w:rsidR="005E7660">
        <w:rPr>
          <w:sz w:val="20"/>
          <w:szCs w:val="20"/>
        </w:rPr>
        <w:t xml:space="preserve">pysyvyyden ja riittävän rahoituksen </w:t>
      </w:r>
      <w:r>
        <w:rPr>
          <w:sz w:val="20"/>
          <w:szCs w:val="20"/>
        </w:rPr>
        <w:t xml:space="preserve">puute on näkynyt mm vapaan kentän </w:t>
      </w:r>
      <w:r w:rsidR="006E55ED">
        <w:rPr>
          <w:sz w:val="20"/>
          <w:szCs w:val="20"/>
        </w:rPr>
        <w:t xml:space="preserve">heikommissa </w:t>
      </w:r>
      <w:r>
        <w:rPr>
          <w:sz w:val="20"/>
          <w:szCs w:val="20"/>
        </w:rPr>
        <w:t xml:space="preserve">toimintaedellytyksissä, kun niiden rahoitus on pääasiallisesti perustunut määräaikaisiin avustuksiin. </w:t>
      </w:r>
      <w:r w:rsidR="006E55ED">
        <w:rPr>
          <w:sz w:val="20"/>
          <w:szCs w:val="20"/>
        </w:rPr>
        <w:t>Nyt samaa vaihtuvuutta ja ennakoimattomuutta halutaan tuoda laskennallisen valtionosuusjärjestelmän sisälle</w:t>
      </w:r>
      <w:r w:rsidR="00662D5C">
        <w:rPr>
          <w:sz w:val="20"/>
          <w:szCs w:val="20"/>
        </w:rPr>
        <w:t xml:space="preserve">. </w:t>
      </w:r>
      <w:r w:rsidR="005E7660">
        <w:rPr>
          <w:sz w:val="20"/>
          <w:szCs w:val="20"/>
        </w:rPr>
        <w:t xml:space="preserve"> </w:t>
      </w:r>
    </w:p>
    <w:p w:rsidR="00B85127" w:rsidRDefault="00B85127" w:rsidP="00CD42A5">
      <w:pPr>
        <w:ind w:left="1304"/>
        <w:rPr>
          <w:sz w:val="20"/>
          <w:szCs w:val="20"/>
        </w:rPr>
      </w:pPr>
    </w:p>
    <w:p w:rsidR="00546EC7" w:rsidRDefault="00744232" w:rsidP="00546EC7">
      <w:pPr>
        <w:ind w:left="1304"/>
        <w:rPr>
          <w:sz w:val="20"/>
          <w:szCs w:val="20"/>
        </w:rPr>
      </w:pPr>
      <w:r>
        <w:rPr>
          <w:sz w:val="20"/>
          <w:szCs w:val="20"/>
        </w:rPr>
        <w:t>Suomen Kuntaliiton huoli kohdistuu koko kenttään</w:t>
      </w:r>
      <w:r w:rsidR="00662D5C">
        <w:rPr>
          <w:sz w:val="20"/>
          <w:szCs w:val="20"/>
        </w:rPr>
        <w:t xml:space="preserve">, jolle kuntien rooli eri toimintayksikköjen rahoittajana ja ylläpitäjänä on keskeinen. </w:t>
      </w:r>
      <w:r w:rsidRPr="00744232">
        <w:rPr>
          <w:sz w:val="20"/>
          <w:szCs w:val="20"/>
        </w:rPr>
        <w:t xml:space="preserve">Suurin osa kaupungeista sekä ylläpitää omaa tuotantoa, että avustaa yksityisiä toimijoita. </w:t>
      </w:r>
      <w:r w:rsidR="00546EC7" w:rsidRPr="00744232">
        <w:rPr>
          <w:sz w:val="20"/>
          <w:szCs w:val="20"/>
        </w:rPr>
        <w:t>Yksityinen ylläpitäjä tarkoittaa usein</w:t>
      </w:r>
      <w:r w:rsidR="00546EC7">
        <w:rPr>
          <w:sz w:val="20"/>
          <w:szCs w:val="20"/>
        </w:rPr>
        <w:t xml:space="preserve"> kunnan tai</w:t>
      </w:r>
      <w:r w:rsidR="00546EC7" w:rsidRPr="00744232">
        <w:rPr>
          <w:sz w:val="20"/>
          <w:szCs w:val="20"/>
        </w:rPr>
        <w:t xml:space="preserve"> kuntien omistamia yksityisiä yhtiöitä ja säätiöitä, esimerkiksi Helsingissä kaupunginteatteri (säätiö), Espoossa kaupunkiteatteri (säätiö), Turussa kaupunginteatteri (oy) tai Kotkassa Kymi sinfonietta (oy). </w:t>
      </w:r>
    </w:p>
    <w:p w:rsidR="00662D5C" w:rsidRDefault="00662D5C" w:rsidP="00662D5C">
      <w:pPr>
        <w:rPr>
          <w:sz w:val="20"/>
          <w:szCs w:val="20"/>
        </w:rPr>
      </w:pPr>
    </w:p>
    <w:p w:rsidR="00546EC7" w:rsidRDefault="00057F60" w:rsidP="00744232">
      <w:pPr>
        <w:ind w:left="1304"/>
        <w:rPr>
          <w:sz w:val="20"/>
          <w:szCs w:val="20"/>
        </w:rPr>
      </w:pPr>
      <w:r>
        <w:rPr>
          <w:sz w:val="20"/>
          <w:szCs w:val="20"/>
        </w:rPr>
        <w:t xml:space="preserve">Suomen Kuntaliiton mukaan </w:t>
      </w:r>
      <w:r w:rsidR="00662D5C">
        <w:rPr>
          <w:sz w:val="20"/>
          <w:szCs w:val="20"/>
        </w:rPr>
        <w:t>k</w:t>
      </w:r>
      <w:r w:rsidR="00546EC7">
        <w:rPr>
          <w:sz w:val="20"/>
          <w:szCs w:val="20"/>
        </w:rPr>
        <w:t>un</w:t>
      </w:r>
      <w:r w:rsidR="00662D5C">
        <w:rPr>
          <w:sz w:val="20"/>
          <w:szCs w:val="20"/>
        </w:rPr>
        <w:t>tien</w:t>
      </w:r>
      <w:r w:rsidR="00546EC7">
        <w:rPr>
          <w:sz w:val="20"/>
          <w:szCs w:val="20"/>
        </w:rPr>
        <w:t xml:space="preserve"> merkitys taidelaitosten omistajina ja toiminnan rahoittajina tulee huomioida uudistuksessa</w:t>
      </w:r>
      <w:r w:rsidR="00662D5C">
        <w:rPr>
          <w:sz w:val="20"/>
          <w:szCs w:val="20"/>
        </w:rPr>
        <w:t xml:space="preserve">. Kuntakentän näkemyksen mukaan </w:t>
      </w:r>
      <w:r w:rsidR="006E69FB">
        <w:rPr>
          <w:sz w:val="20"/>
          <w:szCs w:val="20"/>
        </w:rPr>
        <w:t xml:space="preserve">määräaikainen, </w:t>
      </w:r>
      <w:r w:rsidR="00662D5C">
        <w:rPr>
          <w:sz w:val="20"/>
          <w:szCs w:val="20"/>
        </w:rPr>
        <w:t>jatkuva hakeutuminen rahoituksen piiriin ei ole tarkoituksenmukaista eikä edistä toiminnan kokonaisvaltaista yllä</w:t>
      </w:r>
      <w:r>
        <w:rPr>
          <w:sz w:val="20"/>
          <w:szCs w:val="20"/>
        </w:rPr>
        <w:t>p</w:t>
      </w:r>
      <w:r w:rsidR="00662D5C">
        <w:rPr>
          <w:sz w:val="20"/>
          <w:szCs w:val="20"/>
        </w:rPr>
        <w:t>itämistä ja kehittämiseen si</w:t>
      </w:r>
      <w:r>
        <w:rPr>
          <w:sz w:val="20"/>
          <w:szCs w:val="20"/>
        </w:rPr>
        <w:t>toutumista</w:t>
      </w:r>
      <w:r w:rsidR="00662D5C">
        <w:rPr>
          <w:sz w:val="20"/>
          <w:szCs w:val="20"/>
        </w:rPr>
        <w:t xml:space="preserve">. </w:t>
      </w:r>
      <w:r w:rsidR="00546EC7">
        <w:rPr>
          <w:sz w:val="20"/>
          <w:szCs w:val="20"/>
        </w:rPr>
        <w:t xml:space="preserve">  </w:t>
      </w:r>
    </w:p>
    <w:p w:rsidR="00744232" w:rsidRDefault="00744232" w:rsidP="00546EC7">
      <w:pPr>
        <w:ind w:left="2608"/>
        <w:rPr>
          <w:sz w:val="20"/>
          <w:szCs w:val="20"/>
        </w:rPr>
      </w:pPr>
      <w:r w:rsidRPr="00744232">
        <w:rPr>
          <w:sz w:val="20"/>
          <w:szCs w:val="20"/>
        </w:rPr>
        <w:t>Kuntaliiton kulttuurin talouden ja toiminnan vertailutiedonkeruussa maan 20 suurinta kaupunkia sekä 30 suurimman kaupungin johdossa olevat 2 kuntaa kattavat väestöstä yli puolet. Vuoden 201</w:t>
      </w:r>
      <w:r w:rsidR="009B0F53">
        <w:rPr>
          <w:sz w:val="20"/>
          <w:szCs w:val="20"/>
        </w:rPr>
        <w:t>6</w:t>
      </w:r>
      <w:r w:rsidRPr="00744232">
        <w:rPr>
          <w:sz w:val="20"/>
          <w:szCs w:val="20"/>
        </w:rPr>
        <w:t xml:space="preserve"> tiedoissa kaupungit ylläpitivät 65 </w:t>
      </w:r>
      <w:r w:rsidR="009B0F53">
        <w:rPr>
          <w:sz w:val="20"/>
          <w:szCs w:val="20"/>
        </w:rPr>
        <w:t xml:space="preserve">laitosta, joista </w:t>
      </w:r>
      <w:proofErr w:type="spellStart"/>
      <w:r w:rsidR="009B0F53">
        <w:rPr>
          <w:sz w:val="20"/>
          <w:szCs w:val="20"/>
        </w:rPr>
        <w:t>vos</w:t>
      </w:r>
      <w:proofErr w:type="spellEnd"/>
      <w:r w:rsidR="009B0F53">
        <w:rPr>
          <w:sz w:val="20"/>
          <w:szCs w:val="20"/>
        </w:rPr>
        <w:t>-laitoksia oli 58 ja avustivat 147</w:t>
      </w:r>
      <w:r w:rsidRPr="00744232">
        <w:rPr>
          <w:sz w:val="20"/>
          <w:szCs w:val="20"/>
        </w:rPr>
        <w:t xml:space="preserve"> laito</w:t>
      </w:r>
      <w:r w:rsidR="009B0F53">
        <w:rPr>
          <w:sz w:val="20"/>
          <w:szCs w:val="20"/>
        </w:rPr>
        <w:t xml:space="preserve">sta, joista 77 oli </w:t>
      </w:r>
      <w:proofErr w:type="spellStart"/>
      <w:r w:rsidR="009B0F53">
        <w:rPr>
          <w:sz w:val="20"/>
          <w:szCs w:val="20"/>
        </w:rPr>
        <w:t>vos</w:t>
      </w:r>
      <w:proofErr w:type="spellEnd"/>
      <w:r w:rsidR="009B0F53">
        <w:rPr>
          <w:sz w:val="20"/>
          <w:szCs w:val="20"/>
        </w:rPr>
        <w:t>-laitoksia</w:t>
      </w:r>
      <w:r w:rsidRPr="00744232">
        <w:rPr>
          <w:sz w:val="20"/>
          <w:szCs w:val="20"/>
        </w:rPr>
        <w:t>. (Kuntien kulttuuritoiminta lukujen valossa I</w:t>
      </w:r>
      <w:r w:rsidR="009B0F53">
        <w:rPr>
          <w:sz w:val="20"/>
          <w:szCs w:val="20"/>
        </w:rPr>
        <w:t>V, vielä julkaisematon raportti, Kuntaliitto</w:t>
      </w:r>
      <w:r w:rsidRPr="00744232">
        <w:rPr>
          <w:sz w:val="20"/>
          <w:szCs w:val="20"/>
        </w:rPr>
        <w:t xml:space="preserve">.) </w:t>
      </w:r>
    </w:p>
    <w:p w:rsidR="00744232" w:rsidRPr="00744232" w:rsidRDefault="00744232" w:rsidP="00744232">
      <w:pPr>
        <w:ind w:left="1304"/>
        <w:rPr>
          <w:sz w:val="20"/>
          <w:szCs w:val="20"/>
        </w:rPr>
      </w:pPr>
    </w:p>
    <w:p w:rsidR="00744232" w:rsidRPr="00744232" w:rsidRDefault="00744232" w:rsidP="00546EC7">
      <w:pPr>
        <w:ind w:left="2608"/>
        <w:rPr>
          <w:sz w:val="20"/>
          <w:szCs w:val="20"/>
        </w:rPr>
      </w:pPr>
      <w:r w:rsidRPr="00744232">
        <w:rPr>
          <w:sz w:val="20"/>
          <w:szCs w:val="20"/>
        </w:rPr>
        <w:t xml:space="preserve">Valtionosuutta saavien teattereiden menot ovat vuosittain </w:t>
      </w:r>
      <w:r>
        <w:rPr>
          <w:sz w:val="20"/>
          <w:szCs w:val="20"/>
        </w:rPr>
        <w:t>reilut 170 miljoonaa euroa</w:t>
      </w:r>
      <w:r w:rsidRPr="00744232">
        <w:rPr>
          <w:sz w:val="20"/>
          <w:szCs w:val="20"/>
        </w:rPr>
        <w:t xml:space="preserve"> (201</w:t>
      </w:r>
      <w:r>
        <w:rPr>
          <w:sz w:val="20"/>
          <w:szCs w:val="20"/>
        </w:rPr>
        <w:t>6</w:t>
      </w:r>
      <w:r w:rsidRPr="00744232">
        <w:rPr>
          <w:sz w:val="20"/>
          <w:szCs w:val="20"/>
        </w:rPr>
        <w:t xml:space="preserve">). </w:t>
      </w:r>
      <w:r>
        <w:rPr>
          <w:sz w:val="20"/>
          <w:szCs w:val="20"/>
        </w:rPr>
        <w:t xml:space="preserve">Valtionosuusrahoitusta teatterit saavat </w:t>
      </w:r>
      <w:r w:rsidRPr="00744232">
        <w:rPr>
          <w:sz w:val="20"/>
          <w:szCs w:val="20"/>
        </w:rPr>
        <w:t xml:space="preserve">vuosittain </w:t>
      </w:r>
      <w:r>
        <w:rPr>
          <w:sz w:val="20"/>
          <w:szCs w:val="20"/>
        </w:rPr>
        <w:t>55</w:t>
      </w:r>
      <w:r w:rsidRPr="00744232">
        <w:rPr>
          <w:sz w:val="20"/>
          <w:szCs w:val="20"/>
        </w:rPr>
        <w:t xml:space="preserve"> miljoon</w:t>
      </w:r>
      <w:r>
        <w:rPr>
          <w:sz w:val="20"/>
          <w:szCs w:val="20"/>
        </w:rPr>
        <w:t xml:space="preserve">a euroa ja kuntarahoitusta </w:t>
      </w:r>
      <w:r w:rsidRPr="00744232">
        <w:rPr>
          <w:sz w:val="20"/>
          <w:szCs w:val="20"/>
        </w:rPr>
        <w:t xml:space="preserve">mukaan lukien kuntien omat ja yksityiset laitokset, </w:t>
      </w:r>
      <w:r>
        <w:rPr>
          <w:sz w:val="20"/>
          <w:szCs w:val="20"/>
        </w:rPr>
        <w:t>v</w:t>
      </w:r>
      <w:r w:rsidRPr="00744232">
        <w:rPr>
          <w:sz w:val="20"/>
          <w:szCs w:val="20"/>
        </w:rPr>
        <w:t>uosittain lähes 65 miljoonaa euroa.</w:t>
      </w:r>
      <w:r>
        <w:rPr>
          <w:sz w:val="20"/>
          <w:szCs w:val="20"/>
        </w:rPr>
        <w:t xml:space="preserve"> Vastaavasti orkesteripuolen </w:t>
      </w:r>
      <w:r w:rsidR="00546EC7">
        <w:rPr>
          <w:sz w:val="20"/>
          <w:szCs w:val="20"/>
        </w:rPr>
        <w:t xml:space="preserve">reilun </w:t>
      </w:r>
      <w:r w:rsidRPr="00744232">
        <w:rPr>
          <w:sz w:val="20"/>
          <w:szCs w:val="20"/>
        </w:rPr>
        <w:t>7</w:t>
      </w:r>
      <w:r w:rsidR="00546EC7">
        <w:rPr>
          <w:sz w:val="20"/>
          <w:szCs w:val="20"/>
        </w:rPr>
        <w:t>0</w:t>
      </w:r>
      <w:r w:rsidRPr="00744232">
        <w:rPr>
          <w:sz w:val="20"/>
          <w:szCs w:val="20"/>
        </w:rPr>
        <w:t xml:space="preserve"> miljoonan euron vuosittaisista menoista </w:t>
      </w:r>
      <w:r w:rsidR="00546EC7">
        <w:rPr>
          <w:sz w:val="20"/>
          <w:szCs w:val="20"/>
        </w:rPr>
        <w:t>(</w:t>
      </w:r>
      <w:r w:rsidR="00057F60">
        <w:rPr>
          <w:sz w:val="20"/>
          <w:szCs w:val="20"/>
        </w:rPr>
        <w:t>il</w:t>
      </w:r>
      <w:r w:rsidR="00546EC7">
        <w:rPr>
          <w:sz w:val="20"/>
          <w:szCs w:val="20"/>
        </w:rPr>
        <w:t xml:space="preserve">man </w:t>
      </w:r>
      <w:proofErr w:type="spellStart"/>
      <w:r w:rsidR="00546EC7">
        <w:rPr>
          <w:sz w:val="20"/>
          <w:szCs w:val="20"/>
        </w:rPr>
        <w:t>rso:ta</w:t>
      </w:r>
      <w:proofErr w:type="spellEnd"/>
      <w:r w:rsidR="00546EC7">
        <w:rPr>
          <w:sz w:val="20"/>
          <w:szCs w:val="20"/>
        </w:rPr>
        <w:t xml:space="preserve">) </w:t>
      </w:r>
      <w:r w:rsidRPr="00744232">
        <w:rPr>
          <w:sz w:val="20"/>
          <w:szCs w:val="20"/>
        </w:rPr>
        <w:t>valtionosuus on vajaat 20 miljoonaa euroa ja kunnan rahoitus 39 milj</w:t>
      </w:r>
      <w:r>
        <w:rPr>
          <w:sz w:val="20"/>
          <w:szCs w:val="20"/>
        </w:rPr>
        <w:t>oonaa euroa</w:t>
      </w:r>
      <w:r w:rsidRPr="00744232">
        <w:rPr>
          <w:sz w:val="20"/>
          <w:szCs w:val="20"/>
        </w:rPr>
        <w:t xml:space="preserve">. </w:t>
      </w:r>
    </w:p>
    <w:p w:rsidR="00744232" w:rsidRPr="00744232" w:rsidRDefault="00744232" w:rsidP="00744232">
      <w:pPr>
        <w:ind w:left="1304"/>
        <w:rPr>
          <w:sz w:val="20"/>
          <w:szCs w:val="20"/>
        </w:rPr>
      </w:pPr>
    </w:p>
    <w:p w:rsidR="00D80FA8" w:rsidRDefault="00D80FA8" w:rsidP="00B85127">
      <w:pPr>
        <w:ind w:left="1304"/>
        <w:rPr>
          <w:sz w:val="20"/>
          <w:szCs w:val="20"/>
        </w:rPr>
      </w:pPr>
      <w:r>
        <w:rPr>
          <w:sz w:val="20"/>
          <w:szCs w:val="20"/>
        </w:rPr>
        <w:t>Va</w:t>
      </w:r>
      <w:r w:rsidR="005E7660">
        <w:rPr>
          <w:sz w:val="20"/>
          <w:szCs w:val="20"/>
        </w:rPr>
        <w:t>ltionosuuden piiriin hyväksymisen ei tarvitse olla määräaikainen, jotta uusia toimijoita voitaisiin ottaa laskennallisen valtionosuusjärjestelmän piiriin</w:t>
      </w:r>
      <w:r w:rsidR="009B0F53">
        <w:rPr>
          <w:sz w:val="20"/>
          <w:szCs w:val="20"/>
        </w:rPr>
        <w:t xml:space="preserve">. </w:t>
      </w:r>
      <w:r w:rsidR="00057F60" w:rsidRPr="00057F60">
        <w:rPr>
          <w:sz w:val="20"/>
          <w:szCs w:val="20"/>
        </w:rPr>
        <w:t>Opetus- ja kulttuuriministeriö voi</w:t>
      </w:r>
      <w:r w:rsidR="00057F60">
        <w:rPr>
          <w:sz w:val="20"/>
          <w:szCs w:val="20"/>
        </w:rPr>
        <w:t xml:space="preserve">si esityksen mukaan </w:t>
      </w:r>
      <w:r w:rsidR="00057F60" w:rsidRPr="00057F60">
        <w:rPr>
          <w:sz w:val="20"/>
          <w:szCs w:val="20"/>
        </w:rPr>
        <w:t xml:space="preserve">päätöksellään myös perua hyväksymisen valtionosuuteen oikeutetuksi, jos arvioinnissa käy ilmi, ettei toimija enää täytä </w:t>
      </w:r>
      <w:r w:rsidR="00057F60">
        <w:rPr>
          <w:sz w:val="20"/>
          <w:szCs w:val="20"/>
        </w:rPr>
        <w:t>v</w:t>
      </w:r>
      <w:r w:rsidR="00057F60" w:rsidRPr="00057F60">
        <w:rPr>
          <w:sz w:val="20"/>
          <w:szCs w:val="20"/>
        </w:rPr>
        <w:t>altionosuuden edellytyksiä</w:t>
      </w:r>
      <w:r w:rsidR="00057F60">
        <w:rPr>
          <w:sz w:val="20"/>
          <w:szCs w:val="20"/>
        </w:rPr>
        <w:t xml:space="preserve">. </w:t>
      </w:r>
    </w:p>
    <w:p w:rsidR="00013DF1" w:rsidRDefault="00013DF1" w:rsidP="00B85127">
      <w:pPr>
        <w:ind w:left="1304"/>
        <w:rPr>
          <w:sz w:val="20"/>
          <w:szCs w:val="20"/>
        </w:rPr>
      </w:pPr>
    </w:p>
    <w:p w:rsidR="00013DF1" w:rsidRDefault="00013DF1" w:rsidP="00B85127">
      <w:pPr>
        <w:ind w:left="1304"/>
        <w:rPr>
          <w:sz w:val="20"/>
          <w:szCs w:val="20"/>
        </w:rPr>
      </w:pPr>
      <w:r>
        <w:rPr>
          <w:sz w:val="20"/>
          <w:szCs w:val="20"/>
        </w:rPr>
        <w:t xml:space="preserve">Kuntaliitto kannattaa työryhmän ehdotusta useamman vuoden rahoitusta koskevasta suunnitelmasta kategorian I ja II toimintayksiköille.  </w:t>
      </w:r>
    </w:p>
    <w:p w:rsidR="00D80FA8" w:rsidRDefault="005E7660" w:rsidP="00D80FA8">
      <w:pPr>
        <w:ind w:left="2608"/>
        <w:rPr>
          <w:sz w:val="20"/>
          <w:szCs w:val="20"/>
        </w:rPr>
      </w:pPr>
      <w:r>
        <w:rPr>
          <w:sz w:val="20"/>
          <w:szCs w:val="20"/>
        </w:rPr>
        <w:t xml:space="preserve">Uudessa laissa </w:t>
      </w:r>
      <w:r w:rsidR="00D80FA8">
        <w:rPr>
          <w:sz w:val="20"/>
          <w:szCs w:val="20"/>
        </w:rPr>
        <w:t xml:space="preserve">täsmennetään lain tavoitteita ja valtionosuuden saamisen edellytyksiä sekä tuodaan säännöllinen arviointi osaksi rahoitusjärjestelmää, kun </w:t>
      </w:r>
      <w:r>
        <w:rPr>
          <w:sz w:val="20"/>
          <w:szCs w:val="20"/>
        </w:rPr>
        <w:t>valtionosuuden edellytysten täyttymistä</w:t>
      </w:r>
      <w:r w:rsidR="00D80FA8">
        <w:rPr>
          <w:sz w:val="20"/>
          <w:szCs w:val="20"/>
        </w:rPr>
        <w:t xml:space="preserve"> arvioidaan säännöllisesti</w:t>
      </w:r>
      <w:r>
        <w:rPr>
          <w:sz w:val="20"/>
          <w:szCs w:val="20"/>
        </w:rPr>
        <w:t xml:space="preserve">. </w:t>
      </w:r>
      <w:r w:rsidR="00D80FA8">
        <w:rPr>
          <w:sz w:val="20"/>
          <w:szCs w:val="20"/>
        </w:rPr>
        <w:t xml:space="preserve">Lisäksi opetus- ja kulttuuriministeriön harkintavalta päättää valtionosuuden piiriin hyväksymisestä säilyy. Ministeriön harkintavalta laajenee paitsi toimintayksiköiden hyväksymisessä rahoituksen piiriin, myös rahoituspäätöksissä. Nykytilan arvioinnissa ministeriön jo lisääntynyt harkintavalta on tunnistettu erityisesti tilanteissa, joissa henkilötyövuosia ei voida myöntää täysimääräisinä. Tähän </w:t>
      </w:r>
      <w:r w:rsidR="00771DB2">
        <w:rPr>
          <w:sz w:val="20"/>
          <w:szCs w:val="20"/>
        </w:rPr>
        <w:t xml:space="preserve">määräaikaisuus ei tuo </w:t>
      </w:r>
      <w:r w:rsidR="00D80FA8">
        <w:rPr>
          <w:sz w:val="20"/>
          <w:szCs w:val="20"/>
        </w:rPr>
        <w:t xml:space="preserve">muutosta. </w:t>
      </w:r>
    </w:p>
    <w:p w:rsidR="00D80FA8" w:rsidRDefault="00D80FA8" w:rsidP="00B85127">
      <w:pPr>
        <w:ind w:left="1304"/>
        <w:rPr>
          <w:sz w:val="20"/>
          <w:szCs w:val="20"/>
        </w:rPr>
      </w:pPr>
    </w:p>
    <w:p w:rsidR="00B85127" w:rsidRDefault="00771DB2" w:rsidP="00B85127">
      <w:pPr>
        <w:ind w:left="1304"/>
        <w:rPr>
          <w:sz w:val="20"/>
          <w:szCs w:val="20"/>
        </w:rPr>
      </w:pPr>
      <w:r>
        <w:rPr>
          <w:sz w:val="20"/>
          <w:szCs w:val="20"/>
        </w:rPr>
        <w:t xml:space="preserve">Edellä mainituista </w:t>
      </w:r>
      <w:r w:rsidR="00D80FA8">
        <w:rPr>
          <w:sz w:val="20"/>
          <w:szCs w:val="20"/>
        </w:rPr>
        <w:t xml:space="preserve">syistä johtuen </w:t>
      </w:r>
      <w:r>
        <w:rPr>
          <w:sz w:val="20"/>
          <w:szCs w:val="20"/>
        </w:rPr>
        <w:t>Suomen Kuntaliitto ehdottaa esityksessään</w:t>
      </w:r>
      <w:r w:rsidR="008945E1">
        <w:rPr>
          <w:sz w:val="20"/>
          <w:szCs w:val="20"/>
        </w:rPr>
        <w:t xml:space="preserve">, että määräaikaiseksi ehdotettu oikeus valtionosuuteen muutetaan toistaiseksi voimassa olevaksi vastaamaan </w:t>
      </w:r>
      <w:r w:rsidR="006E55ED">
        <w:rPr>
          <w:sz w:val="20"/>
          <w:szCs w:val="20"/>
        </w:rPr>
        <w:t>museolain vastaavaa pykälää (</w:t>
      </w:r>
      <w:r>
        <w:rPr>
          <w:sz w:val="20"/>
          <w:szCs w:val="20"/>
        </w:rPr>
        <w:t xml:space="preserve">museolaki, </w:t>
      </w:r>
      <w:r w:rsidR="006E55ED">
        <w:rPr>
          <w:sz w:val="20"/>
          <w:szCs w:val="20"/>
        </w:rPr>
        <w:t>6</w:t>
      </w:r>
      <w:r w:rsidR="00B85127">
        <w:rPr>
          <w:sz w:val="20"/>
          <w:szCs w:val="20"/>
        </w:rPr>
        <w:t>§</w:t>
      </w:r>
      <w:r>
        <w:rPr>
          <w:sz w:val="20"/>
          <w:szCs w:val="20"/>
        </w:rPr>
        <w:t>):</w:t>
      </w:r>
      <w:r w:rsidR="006E55ED">
        <w:rPr>
          <w:sz w:val="20"/>
          <w:szCs w:val="20"/>
        </w:rPr>
        <w:t xml:space="preserve"> </w:t>
      </w:r>
    </w:p>
    <w:p w:rsidR="006E55ED" w:rsidRDefault="006E55ED" w:rsidP="00B85127">
      <w:pPr>
        <w:ind w:left="1304"/>
        <w:rPr>
          <w:sz w:val="20"/>
          <w:szCs w:val="20"/>
        </w:rPr>
      </w:pPr>
    </w:p>
    <w:p w:rsidR="008945E1" w:rsidRDefault="008945E1" w:rsidP="00B85127">
      <w:pPr>
        <w:ind w:left="1304"/>
        <w:rPr>
          <w:sz w:val="20"/>
          <w:szCs w:val="20"/>
        </w:rPr>
      </w:pPr>
      <w:r>
        <w:rPr>
          <w:sz w:val="20"/>
          <w:szCs w:val="20"/>
        </w:rPr>
        <w:lastRenderedPageBreak/>
        <w:t>Laki esittävän taiteen edistämisestä</w:t>
      </w:r>
    </w:p>
    <w:p w:rsidR="008945E1" w:rsidRDefault="008945E1" w:rsidP="00B85127">
      <w:pPr>
        <w:ind w:left="1304"/>
        <w:rPr>
          <w:sz w:val="20"/>
          <w:szCs w:val="20"/>
        </w:rPr>
      </w:pPr>
    </w:p>
    <w:p w:rsidR="006E55ED" w:rsidRDefault="006E55ED" w:rsidP="00B85127">
      <w:pPr>
        <w:ind w:left="1304"/>
        <w:rPr>
          <w:sz w:val="20"/>
          <w:szCs w:val="20"/>
        </w:rPr>
      </w:pPr>
      <w:r>
        <w:rPr>
          <w:sz w:val="20"/>
          <w:szCs w:val="20"/>
        </w:rPr>
        <w:t>5§</w:t>
      </w:r>
    </w:p>
    <w:p w:rsidR="006E55ED" w:rsidRDefault="006E55ED" w:rsidP="00B85127">
      <w:pPr>
        <w:ind w:left="1304"/>
        <w:rPr>
          <w:sz w:val="20"/>
          <w:szCs w:val="20"/>
        </w:rPr>
      </w:pPr>
    </w:p>
    <w:p w:rsidR="006E55ED" w:rsidRDefault="006E55ED" w:rsidP="006E55ED">
      <w:pPr>
        <w:ind w:left="1304"/>
        <w:rPr>
          <w:i/>
          <w:sz w:val="20"/>
          <w:szCs w:val="20"/>
        </w:rPr>
      </w:pPr>
      <w:r w:rsidRPr="006E55ED">
        <w:rPr>
          <w:i/>
          <w:sz w:val="20"/>
          <w:szCs w:val="20"/>
        </w:rPr>
        <w:t>Opetus- ja kulttuuriministeriö päättää hakemuksesta valtion talousarvion rajoissa esittävän taiteen toimintayksikön hyväksymisestä valtionosuuteen oikeutetuksi. Päättäessään hyväksymisestä valtionosuuteen oikeutetuksi ministeriö ottaa huomioon valtionosuuden tarpeellisuuden 3 §:ssä säädetyn tavoitteen kannalta.</w:t>
      </w:r>
    </w:p>
    <w:p w:rsidR="00CB3D4A" w:rsidRDefault="00CB3D4A" w:rsidP="00CB3D4A">
      <w:pPr>
        <w:ind w:left="1304"/>
        <w:rPr>
          <w:i/>
          <w:sz w:val="20"/>
          <w:szCs w:val="20"/>
        </w:rPr>
      </w:pPr>
    </w:p>
    <w:p w:rsidR="00013DF1" w:rsidRDefault="00CB3D4A" w:rsidP="00013DF1">
      <w:pPr>
        <w:ind w:left="1304"/>
        <w:rPr>
          <w:i/>
          <w:sz w:val="20"/>
          <w:szCs w:val="20"/>
        </w:rPr>
      </w:pPr>
      <w:r>
        <w:rPr>
          <w:i/>
          <w:sz w:val="20"/>
          <w:szCs w:val="20"/>
        </w:rPr>
        <w:t>P</w:t>
      </w:r>
      <w:r w:rsidRPr="006E55ED">
        <w:rPr>
          <w:i/>
          <w:sz w:val="20"/>
          <w:szCs w:val="20"/>
        </w:rPr>
        <w:t>äätös toimintayksikön hyväksymisestä valtionosuuteen oikeutetuksi tehdään</w:t>
      </w:r>
      <w:r w:rsidRPr="00CB3D4A">
        <w:rPr>
          <w:i/>
          <w:sz w:val="20"/>
          <w:szCs w:val="20"/>
        </w:rPr>
        <w:t xml:space="preserve"> toistaiseks</w:t>
      </w:r>
      <w:r w:rsidR="00013DF1">
        <w:rPr>
          <w:i/>
          <w:sz w:val="20"/>
          <w:szCs w:val="20"/>
        </w:rPr>
        <w:t xml:space="preserve">i. </w:t>
      </w:r>
    </w:p>
    <w:p w:rsidR="00013DF1" w:rsidRDefault="00013DF1" w:rsidP="00013DF1">
      <w:pPr>
        <w:ind w:left="1304"/>
        <w:rPr>
          <w:i/>
          <w:sz w:val="20"/>
          <w:szCs w:val="20"/>
        </w:rPr>
      </w:pPr>
    </w:p>
    <w:p w:rsidR="00013DF1" w:rsidRPr="00013DF1" w:rsidRDefault="00013DF1" w:rsidP="00013DF1">
      <w:pPr>
        <w:ind w:left="1304"/>
        <w:rPr>
          <w:i/>
          <w:sz w:val="20"/>
          <w:szCs w:val="20"/>
        </w:rPr>
      </w:pPr>
      <w:r>
        <w:rPr>
          <w:i/>
          <w:sz w:val="20"/>
          <w:szCs w:val="20"/>
        </w:rPr>
        <w:t xml:space="preserve">Opetus- ja kulttuuriministeriö voi päättää </w:t>
      </w:r>
      <w:r w:rsidRPr="00013DF1">
        <w:rPr>
          <w:i/>
          <w:sz w:val="20"/>
          <w:szCs w:val="20"/>
        </w:rPr>
        <w:t xml:space="preserve">rahoituksen myöntämisestä </w:t>
      </w:r>
      <w:r w:rsidR="007D4DB1">
        <w:rPr>
          <w:i/>
          <w:sz w:val="20"/>
          <w:szCs w:val="20"/>
        </w:rPr>
        <w:t xml:space="preserve">toimintayksikölle </w:t>
      </w:r>
      <w:r w:rsidRPr="00013DF1">
        <w:rPr>
          <w:i/>
          <w:sz w:val="20"/>
          <w:szCs w:val="20"/>
        </w:rPr>
        <w:t>kuudeksi kalenterivuodeksi, jos</w:t>
      </w:r>
      <w:r>
        <w:rPr>
          <w:i/>
          <w:sz w:val="20"/>
          <w:szCs w:val="20"/>
        </w:rPr>
        <w:t>:</w:t>
      </w:r>
      <w:r w:rsidRPr="00013DF1">
        <w:rPr>
          <w:i/>
          <w:sz w:val="20"/>
          <w:szCs w:val="20"/>
        </w:rPr>
        <w:t xml:space="preserve"> </w:t>
      </w:r>
    </w:p>
    <w:p w:rsidR="00013DF1" w:rsidRPr="00013DF1" w:rsidRDefault="00013DF1" w:rsidP="00013DF1">
      <w:pPr>
        <w:ind w:left="2608" w:hanging="1304"/>
        <w:rPr>
          <w:i/>
          <w:sz w:val="20"/>
          <w:szCs w:val="20"/>
        </w:rPr>
      </w:pPr>
      <w:r w:rsidRPr="00013DF1">
        <w:rPr>
          <w:i/>
          <w:sz w:val="20"/>
          <w:szCs w:val="20"/>
        </w:rPr>
        <w:t>1)</w:t>
      </w:r>
      <w:r w:rsidRPr="00013DF1">
        <w:rPr>
          <w:i/>
          <w:sz w:val="20"/>
          <w:szCs w:val="20"/>
        </w:rPr>
        <w:tab/>
        <w:t>toimintayksikön toiminta on erityisen laajaa ja moni</w:t>
      </w:r>
      <w:r>
        <w:rPr>
          <w:i/>
          <w:sz w:val="20"/>
          <w:szCs w:val="20"/>
        </w:rPr>
        <w:t>puolista tai taiteellisesti eri</w:t>
      </w:r>
      <w:r w:rsidRPr="00013DF1">
        <w:rPr>
          <w:i/>
          <w:sz w:val="20"/>
          <w:szCs w:val="20"/>
        </w:rPr>
        <w:t>tyisen korkeatasoista;</w:t>
      </w:r>
    </w:p>
    <w:p w:rsidR="00013DF1" w:rsidRPr="00013DF1" w:rsidRDefault="00013DF1" w:rsidP="00013DF1">
      <w:pPr>
        <w:ind w:left="2608" w:hanging="1304"/>
        <w:rPr>
          <w:i/>
          <w:sz w:val="20"/>
          <w:szCs w:val="20"/>
        </w:rPr>
      </w:pPr>
      <w:r w:rsidRPr="00013DF1">
        <w:rPr>
          <w:i/>
          <w:sz w:val="20"/>
          <w:szCs w:val="20"/>
        </w:rPr>
        <w:t>2)</w:t>
      </w:r>
      <w:r w:rsidRPr="00013DF1">
        <w:rPr>
          <w:i/>
          <w:sz w:val="20"/>
          <w:szCs w:val="20"/>
        </w:rPr>
        <w:tab/>
        <w:t>toimintayksiköllä on sen toiminta-ajatukseen perustuva, monivuotinen tavoitte</w:t>
      </w:r>
      <w:r>
        <w:rPr>
          <w:i/>
          <w:sz w:val="20"/>
          <w:szCs w:val="20"/>
        </w:rPr>
        <w:t>i</w:t>
      </w:r>
      <w:r w:rsidRPr="00013DF1">
        <w:rPr>
          <w:i/>
          <w:sz w:val="20"/>
          <w:szCs w:val="20"/>
        </w:rPr>
        <w:t>ta, toimintaa ja taloutta koskeva suunnitelma;</w:t>
      </w:r>
    </w:p>
    <w:p w:rsidR="00013DF1" w:rsidRDefault="00013DF1" w:rsidP="00013DF1">
      <w:pPr>
        <w:ind w:left="2608" w:hanging="1304"/>
        <w:rPr>
          <w:i/>
          <w:sz w:val="20"/>
          <w:szCs w:val="20"/>
        </w:rPr>
      </w:pPr>
      <w:r w:rsidRPr="00013DF1">
        <w:rPr>
          <w:i/>
          <w:sz w:val="20"/>
          <w:szCs w:val="20"/>
        </w:rPr>
        <w:t>3)</w:t>
      </w:r>
      <w:r w:rsidRPr="00013DF1">
        <w:rPr>
          <w:i/>
          <w:sz w:val="20"/>
          <w:szCs w:val="20"/>
        </w:rPr>
        <w:tab/>
        <w:t>toimintayksikö</w:t>
      </w:r>
      <w:r w:rsidR="007D4DB1">
        <w:rPr>
          <w:i/>
          <w:sz w:val="20"/>
          <w:szCs w:val="20"/>
        </w:rPr>
        <w:t xml:space="preserve">n toimintaa johtava henkilö on </w:t>
      </w:r>
      <w:r w:rsidRPr="00013DF1">
        <w:rPr>
          <w:i/>
          <w:sz w:val="20"/>
          <w:szCs w:val="20"/>
        </w:rPr>
        <w:t>päätoiminen</w:t>
      </w:r>
      <w:r w:rsidR="007D4DB1">
        <w:rPr>
          <w:i/>
          <w:sz w:val="20"/>
          <w:szCs w:val="20"/>
        </w:rPr>
        <w:t xml:space="preserve"> ja hänellä </w:t>
      </w:r>
      <w:r w:rsidRPr="00013DF1">
        <w:rPr>
          <w:i/>
          <w:sz w:val="20"/>
          <w:szCs w:val="20"/>
        </w:rPr>
        <w:t>on tehtävään soveltuva koulutus, riittävä perehtyneisyys tehtäväalaan ja käytännössä osoitettu johtamistaito.</w:t>
      </w:r>
    </w:p>
    <w:p w:rsidR="00013DF1" w:rsidRPr="00013DF1" w:rsidRDefault="00013DF1" w:rsidP="00013DF1">
      <w:pPr>
        <w:ind w:left="1304"/>
        <w:rPr>
          <w:i/>
          <w:sz w:val="20"/>
          <w:szCs w:val="20"/>
        </w:rPr>
      </w:pPr>
    </w:p>
    <w:p w:rsidR="00CB3D4A" w:rsidRPr="00CB3D4A" w:rsidRDefault="00013DF1" w:rsidP="00013DF1">
      <w:pPr>
        <w:ind w:left="1304"/>
        <w:rPr>
          <w:i/>
          <w:sz w:val="20"/>
          <w:szCs w:val="20"/>
        </w:rPr>
      </w:pPr>
      <w:r w:rsidRPr="00013DF1">
        <w:rPr>
          <w:i/>
          <w:sz w:val="20"/>
          <w:szCs w:val="20"/>
        </w:rPr>
        <w:t>Muussa tapauksessa tehdään päätös rahoituksen myöntämisestä toimintayksikölle kolmeksi kalenterivuodeksi kerrallaan.</w:t>
      </w:r>
    </w:p>
    <w:p w:rsidR="006E55ED" w:rsidRDefault="006E55ED" w:rsidP="006E55ED">
      <w:pPr>
        <w:ind w:left="1304"/>
        <w:rPr>
          <w:i/>
          <w:sz w:val="20"/>
          <w:szCs w:val="20"/>
        </w:rPr>
      </w:pPr>
    </w:p>
    <w:p w:rsidR="00B85127" w:rsidRPr="006E55ED" w:rsidRDefault="00B85127" w:rsidP="00B85127">
      <w:pPr>
        <w:ind w:left="1304"/>
        <w:rPr>
          <w:i/>
          <w:sz w:val="20"/>
          <w:szCs w:val="20"/>
        </w:rPr>
      </w:pPr>
      <w:r w:rsidRPr="006E55ED">
        <w:rPr>
          <w:i/>
          <w:sz w:val="20"/>
          <w:szCs w:val="20"/>
        </w:rPr>
        <w:t>Opetus- ja kulttuuriministeriö arvioi</w:t>
      </w:r>
      <w:r w:rsidR="00CB3D4A">
        <w:rPr>
          <w:i/>
          <w:sz w:val="20"/>
          <w:szCs w:val="20"/>
        </w:rPr>
        <w:t xml:space="preserve"> kolmen vuoden välein</w:t>
      </w:r>
      <w:r w:rsidRPr="006E55ED">
        <w:rPr>
          <w:i/>
          <w:sz w:val="20"/>
          <w:szCs w:val="20"/>
        </w:rPr>
        <w:t xml:space="preserve">, täyttääkö valtionosuuteen oikeutetuksi hyväksytty </w:t>
      </w:r>
      <w:r w:rsidR="006E55ED">
        <w:rPr>
          <w:i/>
          <w:sz w:val="20"/>
          <w:szCs w:val="20"/>
        </w:rPr>
        <w:t>toimintayksikkö</w:t>
      </w:r>
      <w:r w:rsidRPr="006E55ED">
        <w:rPr>
          <w:i/>
          <w:sz w:val="20"/>
          <w:szCs w:val="20"/>
        </w:rPr>
        <w:t xml:space="preserve"> edelleen </w:t>
      </w:r>
      <w:r w:rsidR="006E55ED">
        <w:rPr>
          <w:i/>
          <w:sz w:val="20"/>
          <w:szCs w:val="20"/>
        </w:rPr>
        <w:t>4</w:t>
      </w:r>
      <w:r w:rsidRPr="006E55ED">
        <w:rPr>
          <w:i/>
          <w:sz w:val="20"/>
          <w:szCs w:val="20"/>
        </w:rPr>
        <w:t xml:space="preserve"> §:ssä säädetyt edellytykset. Jos </w:t>
      </w:r>
      <w:r w:rsidR="006E55ED">
        <w:rPr>
          <w:i/>
          <w:sz w:val="20"/>
          <w:szCs w:val="20"/>
        </w:rPr>
        <w:t>toimintayksikkö</w:t>
      </w:r>
      <w:r w:rsidRPr="006E55ED">
        <w:rPr>
          <w:i/>
          <w:sz w:val="20"/>
          <w:szCs w:val="20"/>
        </w:rPr>
        <w:t xml:space="preserve"> ei enää täytä </w:t>
      </w:r>
      <w:r w:rsidR="006E55ED">
        <w:rPr>
          <w:i/>
          <w:sz w:val="20"/>
          <w:szCs w:val="20"/>
        </w:rPr>
        <w:t>4</w:t>
      </w:r>
      <w:r w:rsidRPr="006E55ED">
        <w:rPr>
          <w:i/>
          <w:sz w:val="20"/>
          <w:szCs w:val="20"/>
        </w:rPr>
        <w:t xml:space="preserve"> §:ssä säädettyjä edellytyksiä, opetus- ja kulttuuriministeriö voi peruuttaa </w:t>
      </w:r>
      <w:r w:rsidR="006E55ED">
        <w:rPr>
          <w:i/>
          <w:sz w:val="20"/>
          <w:szCs w:val="20"/>
        </w:rPr>
        <w:t>toimintayksikön</w:t>
      </w:r>
      <w:r w:rsidRPr="006E55ED">
        <w:rPr>
          <w:i/>
          <w:sz w:val="20"/>
          <w:szCs w:val="20"/>
        </w:rPr>
        <w:t xml:space="preserve"> hyväksymisen valtionosuuteen oikeutetuksi.</w:t>
      </w:r>
    </w:p>
    <w:p w:rsidR="00B85127" w:rsidRDefault="00B85127" w:rsidP="00B85127">
      <w:pPr>
        <w:ind w:left="1304"/>
        <w:rPr>
          <w:sz w:val="20"/>
          <w:szCs w:val="20"/>
        </w:rPr>
      </w:pPr>
    </w:p>
    <w:p w:rsidR="00B85127" w:rsidRDefault="00CB3D4A" w:rsidP="00B85127">
      <w:pPr>
        <w:ind w:left="1304"/>
        <w:rPr>
          <w:sz w:val="20"/>
          <w:szCs w:val="20"/>
        </w:rPr>
      </w:pPr>
      <w:r>
        <w:rPr>
          <w:sz w:val="20"/>
          <w:szCs w:val="20"/>
        </w:rPr>
        <w:t xml:space="preserve">Vastaavasti Suomen Kuntaliitto ehdottaa, että </w:t>
      </w:r>
      <w:r w:rsidR="007D4DB1">
        <w:rPr>
          <w:sz w:val="20"/>
          <w:szCs w:val="20"/>
        </w:rPr>
        <w:t>7</w:t>
      </w:r>
      <w:r>
        <w:rPr>
          <w:sz w:val="20"/>
          <w:szCs w:val="20"/>
        </w:rPr>
        <w:t xml:space="preserve"> §:n valtionosuuden piriin hakeutumista koskeva </w:t>
      </w:r>
      <w:r w:rsidR="007D4DB1">
        <w:rPr>
          <w:sz w:val="20"/>
          <w:szCs w:val="20"/>
        </w:rPr>
        <w:t>1 momentti</w:t>
      </w:r>
      <w:r>
        <w:rPr>
          <w:sz w:val="20"/>
          <w:szCs w:val="20"/>
        </w:rPr>
        <w:t xml:space="preserve"> muutetaan muotoon:</w:t>
      </w:r>
    </w:p>
    <w:p w:rsidR="00CB3D4A" w:rsidRDefault="00CB3D4A" w:rsidP="00B85127">
      <w:pPr>
        <w:ind w:left="1304"/>
        <w:rPr>
          <w:sz w:val="20"/>
          <w:szCs w:val="20"/>
        </w:rPr>
      </w:pPr>
    </w:p>
    <w:p w:rsidR="00CB3D4A" w:rsidRDefault="00CB3D4A" w:rsidP="00CB3D4A">
      <w:pPr>
        <w:ind w:left="1304"/>
        <w:rPr>
          <w:sz w:val="20"/>
          <w:szCs w:val="20"/>
        </w:rPr>
      </w:pPr>
      <w:r w:rsidRPr="00CB3D4A">
        <w:rPr>
          <w:sz w:val="20"/>
          <w:szCs w:val="20"/>
        </w:rPr>
        <w:t>7 §</w:t>
      </w:r>
    </w:p>
    <w:p w:rsidR="00CB3D4A" w:rsidRPr="00CB3D4A" w:rsidRDefault="00CB3D4A" w:rsidP="00CB3D4A">
      <w:pPr>
        <w:ind w:left="1304"/>
        <w:rPr>
          <w:sz w:val="20"/>
          <w:szCs w:val="20"/>
        </w:rPr>
      </w:pPr>
    </w:p>
    <w:p w:rsidR="00CB3D4A" w:rsidRPr="00CB3D4A" w:rsidRDefault="00CB3D4A" w:rsidP="00CB3D4A">
      <w:pPr>
        <w:ind w:left="1304"/>
        <w:rPr>
          <w:sz w:val="20"/>
          <w:szCs w:val="20"/>
        </w:rPr>
      </w:pPr>
      <w:r w:rsidRPr="00CB3D4A">
        <w:rPr>
          <w:sz w:val="20"/>
          <w:szCs w:val="20"/>
        </w:rPr>
        <w:t>Esittävän taiteen toimintayksik</w:t>
      </w:r>
      <w:r w:rsidR="007D4DB1">
        <w:rPr>
          <w:sz w:val="20"/>
          <w:szCs w:val="20"/>
        </w:rPr>
        <w:t>kö</w:t>
      </w:r>
      <w:r w:rsidRPr="00CB3D4A">
        <w:rPr>
          <w:sz w:val="20"/>
          <w:szCs w:val="20"/>
        </w:rPr>
        <w:t xml:space="preserve"> </w:t>
      </w:r>
      <w:r w:rsidR="007D4DB1">
        <w:rPr>
          <w:sz w:val="20"/>
          <w:szCs w:val="20"/>
        </w:rPr>
        <w:t xml:space="preserve">voi hakea </w:t>
      </w:r>
      <w:r w:rsidRPr="00CB3D4A">
        <w:rPr>
          <w:sz w:val="20"/>
          <w:szCs w:val="20"/>
        </w:rPr>
        <w:t xml:space="preserve">hyväksymistä valtionosuuteen oikeutetuksi opetus- ja kulttuuriministeriöltä </w:t>
      </w:r>
      <w:r w:rsidR="006E69FB">
        <w:rPr>
          <w:sz w:val="20"/>
          <w:szCs w:val="20"/>
        </w:rPr>
        <w:t>opetus</w:t>
      </w:r>
      <w:r w:rsidRPr="00CB3D4A">
        <w:rPr>
          <w:sz w:val="20"/>
          <w:szCs w:val="20"/>
        </w:rPr>
        <w:t>- ja kulttuuriministeriön ilmoittamana hakuaikana.</w:t>
      </w:r>
      <w:r w:rsidR="007D4DB1">
        <w:rPr>
          <w:sz w:val="20"/>
          <w:szCs w:val="20"/>
        </w:rPr>
        <w:t xml:space="preserve"> Tarkemmasta hakumenettelystä ja hakuajoista säädetään opetus- ja kulttuuriministeriön asetuksella. </w:t>
      </w:r>
    </w:p>
    <w:p w:rsidR="00B77682" w:rsidRDefault="00B77682" w:rsidP="00CD42A5">
      <w:pPr>
        <w:ind w:left="1304"/>
        <w:rPr>
          <w:sz w:val="20"/>
          <w:szCs w:val="20"/>
        </w:rPr>
      </w:pPr>
    </w:p>
    <w:p w:rsidR="006E69FB" w:rsidRDefault="006E69FB" w:rsidP="00CF438D">
      <w:r>
        <w:tab/>
      </w:r>
    </w:p>
    <w:p w:rsidR="006E69FB" w:rsidRDefault="006E69FB" w:rsidP="006E69FB">
      <w:pPr>
        <w:ind w:firstLine="1304"/>
      </w:pPr>
      <w:r w:rsidRPr="006E69FB">
        <w:t>SUOMEN KUNTALIITTO</w:t>
      </w:r>
    </w:p>
    <w:p w:rsidR="006E69FB" w:rsidRDefault="006E69FB" w:rsidP="006E69FB">
      <w:pPr>
        <w:ind w:firstLine="1304"/>
      </w:pPr>
    </w:p>
    <w:p w:rsidR="00CF438D" w:rsidRDefault="006E69FB" w:rsidP="006E69FB">
      <w:pPr>
        <w:ind w:firstLine="1304"/>
      </w:pPr>
      <w:r>
        <w:t>Johanna Selkee</w:t>
      </w:r>
    </w:p>
    <w:p w:rsidR="006E69FB" w:rsidRPr="00CF438D" w:rsidRDefault="006E69FB" w:rsidP="00CF438D">
      <w:r>
        <w:tab/>
        <w:t>erityisasiantuntija</w:t>
      </w:r>
    </w:p>
    <w:tbl>
      <w:tblPr>
        <w:tblStyle w:val="Eiruudukkoa"/>
        <w:tblW w:w="0" w:type="auto"/>
        <w:tblCellMar>
          <w:bottom w:w="180" w:type="dxa"/>
        </w:tblCellMar>
        <w:tblLook w:val="04A0" w:firstRow="1" w:lastRow="0" w:firstColumn="1" w:lastColumn="0" w:noHBand="0" w:noVBand="1"/>
      </w:tblPr>
      <w:tblGrid>
        <w:gridCol w:w="1285"/>
        <w:gridCol w:w="8636"/>
      </w:tblGrid>
      <w:tr w:rsidR="00CF438D" w:rsidRPr="00CF438D" w:rsidTr="006E69FB">
        <w:tc>
          <w:tcPr>
            <w:tcW w:w="1285" w:type="dxa"/>
          </w:tcPr>
          <w:p w:rsidR="00CF438D" w:rsidRDefault="00CF438D" w:rsidP="006E69FB"/>
        </w:tc>
        <w:tc>
          <w:tcPr>
            <w:tcW w:w="8636" w:type="dxa"/>
          </w:tcPr>
          <w:p w:rsidR="00CF438D" w:rsidRPr="00CF438D" w:rsidRDefault="00CF438D" w:rsidP="00315C63"/>
        </w:tc>
      </w:tr>
      <w:tr w:rsidR="00CF438D" w:rsidRPr="00CF438D" w:rsidTr="006E69FB">
        <w:tc>
          <w:tcPr>
            <w:tcW w:w="1285" w:type="dxa"/>
          </w:tcPr>
          <w:p w:rsidR="00CF438D" w:rsidRDefault="00CF438D" w:rsidP="00315C63"/>
        </w:tc>
        <w:tc>
          <w:tcPr>
            <w:tcW w:w="8636" w:type="dxa"/>
          </w:tcPr>
          <w:p w:rsidR="00CF438D" w:rsidRPr="00CF438D" w:rsidRDefault="00CF438D" w:rsidP="00315C63"/>
        </w:tc>
      </w:tr>
    </w:tbl>
    <w:p w:rsidR="00B46A56" w:rsidRDefault="00B46A56" w:rsidP="00CF438D"/>
    <w:p w:rsidR="00CF438D" w:rsidRPr="00CF438D" w:rsidRDefault="00CF438D" w:rsidP="00CF438D"/>
    <w:sectPr w:rsidR="00CF438D" w:rsidRPr="00CF438D" w:rsidSect="00A257A0">
      <w:headerReference w:type="default" r:id="rId9"/>
      <w:headerReference w:type="first" r:id="rId10"/>
      <w:footerReference w:type="first" r:id="rId11"/>
      <w:pgSz w:w="11906" w:h="16838" w:code="9"/>
      <w:pgMar w:top="1871" w:right="851" w:bottom="567" w:left="1134" w:header="96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A5" w:rsidRDefault="00CD42A5" w:rsidP="002233A8">
      <w:r>
        <w:separator/>
      </w:r>
    </w:p>
  </w:endnote>
  <w:endnote w:type="continuationSeparator" w:id="0">
    <w:p w:rsidR="00CD42A5" w:rsidRDefault="00CD42A5" w:rsidP="002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923" w:type="dxa"/>
      <w:tblLayout w:type="fixed"/>
      <w:tblLook w:val="04A0" w:firstRow="1" w:lastRow="0" w:firstColumn="1" w:lastColumn="0" w:noHBand="0" w:noVBand="1"/>
    </w:tblPr>
    <w:tblGrid>
      <w:gridCol w:w="2002"/>
      <w:gridCol w:w="2562"/>
      <w:gridCol w:w="1583"/>
      <w:gridCol w:w="3754"/>
      <w:gridCol w:w="22"/>
    </w:tblGrid>
    <w:tr w:rsidR="00FC7C2A" w:rsidRPr="00A17AA6" w:rsidTr="00DF1C1F">
      <w:trPr>
        <w:trHeight w:val="110"/>
      </w:trPr>
      <w:tc>
        <w:tcPr>
          <w:tcW w:w="2002" w:type="dxa"/>
          <w:tcBorders>
            <w:top w:val="dotted" w:sz="12" w:space="0" w:color="A6A6A6"/>
          </w:tcBorders>
        </w:tcPr>
        <w:p w:rsidR="00FC7C2A" w:rsidRPr="00A257A0" w:rsidRDefault="00FC7C2A" w:rsidP="00681E52">
          <w:pPr>
            <w:pStyle w:val="Alatunniste"/>
          </w:pPr>
        </w:p>
      </w:tc>
      <w:tc>
        <w:tcPr>
          <w:tcW w:w="2562" w:type="dxa"/>
          <w:tcBorders>
            <w:top w:val="dotted" w:sz="12" w:space="0" w:color="A6A6A6"/>
          </w:tcBorders>
        </w:tcPr>
        <w:p w:rsidR="00FC7C2A" w:rsidRPr="00A17AA6" w:rsidRDefault="00FC7C2A" w:rsidP="00681E52">
          <w:pPr>
            <w:pStyle w:val="Alatunniste"/>
          </w:pPr>
        </w:p>
      </w:tc>
      <w:tc>
        <w:tcPr>
          <w:tcW w:w="1583" w:type="dxa"/>
          <w:tcBorders>
            <w:top w:val="dotted" w:sz="12" w:space="0" w:color="A6A6A6"/>
          </w:tcBorders>
        </w:tcPr>
        <w:p w:rsidR="00FC7C2A" w:rsidRPr="00A17AA6" w:rsidRDefault="00FC7C2A" w:rsidP="00681E52">
          <w:pPr>
            <w:pStyle w:val="Alatunniste"/>
          </w:pPr>
        </w:p>
      </w:tc>
      <w:tc>
        <w:tcPr>
          <w:tcW w:w="3754" w:type="dxa"/>
          <w:tcBorders>
            <w:top w:val="dotted" w:sz="12" w:space="0" w:color="A6A6A6"/>
          </w:tcBorders>
        </w:tcPr>
        <w:p w:rsidR="00FC7C2A" w:rsidRPr="00A17AA6" w:rsidRDefault="00FC7C2A" w:rsidP="00681E52">
          <w:pPr>
            <w:pStyle w:val="Alatunniste"/>
          </w:pPr>
        </w:p>
      </w:tc>
      <w:tc>
        <w:tcPr>
          <w:tcW w:w="22" w:type="dxa"/>
        </w:tcPr>
        <w:p w:rsidR="00FC7C2A" w:rsidRPr="00A17AA6" w:rsidRDefault="00FC7C2A" w:rsidP="007C3FA3">
          <w:pPr>
            <w:pStyle w:val="Alatunniste"/>
            <w:ind w:left="1836"/>
          </w:pPr>
        </w:p>
      </w:tc>
    </w:tr>
    <w:tr w:rsidR="00FC7C2A" w:rsidRPr="00343A31" w:rsidTr="00874295">
      <w:trPr>
        <w:trHeight w:hRule="exact" w:val="1076"/>
      </w:trPr>
      <w:tc>
        <w:tcPr>
          <w:tcW w:w="2002" w:type="dxa"/>
        </w:tcPr>
        <w:p w:rsidR="00FC7C2A" w:rsidRPr="00A257A0" w:rsidRDefault="00FC7C2A" w:rsidP="00681E52">
          <w:pPr>
            <w:pStyle w:val="Alatunniste"/>
            <w:rPr>
              <w:color w:val="00A6D6" w:themeColor="accent2"/>
            </w:rPr>
          </w:pPr>
          <w:r w:rsidRPr="00A257A0">
            <w:rPr>
              <w:color w:val="00A6D6" w:themeColor="accent2"/>
            </w:rPr>
            <w:t>www.</w:t>
          </w:r>
          <w:r w:rsidR="007C3FA3">
            <w:rPr>
              <w:color w:val="00A6D6" w:themeColor="accent2"/>
            </w:rPr>
            <w:t>kuntaliitto.fi</w:t>
          </w:r>
        </w:p>
        <w:p w:rsidR="00FC7C2A" w:rsidRPr="00A17AA6" w:rsidRDefault="00FC7C2A" w:rsidP="007C3FA3">
          <w:pPr>
            <w:pStyle w:val="Alatunniste"/>
          </w:pPr>
          <w:r w:rsidRPr="00A257A0">
            <w:rPr>
              <w:color w:val="00A6D6" w:themeColor="accent2"/>
            </w:rPr>
            <w:t>www.</w:t>
          </w:r>
          <w:r w:rsidR="007C3FA3">
            <w:rPr>
              <w:color w:val="00A6D6" w:themeColor="accent2"/>
            </w:rPr>
            <w:t>kommunforbundet</w:t>
          </w:r>
          <w:r w:rsidRPr="00A257A0">
            <w:rPr>
              <w:color w:val="00A6D6" w:themeColor="accent2"/>
            </w:rPr>
            <w:t>.</w:t>
          </w:r>
          <w:r w:rsidR="007C3FA3">
            <w:rPr>
              <w:color w:val="00A6D6" w:themeColor="accent2"/>
            </w:rPr>
            <w:t>fi</w:t>
          </w:r>
        </w:p>
      </w:tc>
      <w:tc>
        <w:tcPr>
          <w:tcW w:w="2562" w:type="dxa"/>
        </w:tcPr>
        <w:p w:rsidR="00FC7C2A" w:rsidRPr="00756BFE" w:rsidRDefault="00FC7C2A" w:rsidP="00681E52">
          <w:pPr>
            <w:pStyle w:val="Alatunniste"/>
            <w:rPr>
              <w:b/>
              <w:color w:val="002E63" w:themeColor="text1"/>
            </w:rPr>
          </w:pPr>
          <w:r w:rsidRPr="00756BFE">
            <w:rPr>
              <w:b/>
              <w:color w:val="002E63" w:themeColor="text1"/>
            </w:rPr>
            <w:t>Suomen Kuntaliitto</w:t>
          </w:r>
        </w:p>
        <w:p w:rsidR="00FC7C2A" w:rsidRPr="00A17AA6" w:rsidRDefault="00FC7C2A" w:rsidP="00681E52">
          <w:pPr>
            <w:pStyle w:val="Alatunniste"/>
          </w:pPr>
          <w:r w:rsidRPr="00A17AA6">
            <w:t>Toinen linja 14</w:t>
          </w:r>
          <w:r>
            <w:t>,</w:t>
          </w:r>
          <w:r w:rsidRPr="00A17AA6">
            <w:t>00530 Helsinki</w:t>
          </w:r>
        </w:p>
        <w:p w:rsidR="00FC7C2A" w:rsidRDefault="00FC7C2A" w:rsidP="00681E52">
          <w:pPr>
            <w:pStyle w:val="Alatunniste"/>
          </w:pPr>
          <w:r w:rsidRPr="00A17AA6">
            <w:t>PL 200, 00101 H</w:t>
          </w:r>
          <w:r>
            <w:t>elsinki</w:t>
          </w:r>
        </w:p>
        <w:p w:rsidR="00FC7C2A" w:rsidRPr="00A17AA6" w:rsidRDefault="00FC7C2A" w:rsidP="00681E52">
          <w:pPr>
            <w:pStyle w:val="Alatunniste"/>
          </w:pPr>
          <w:r>
            <w:t xml:space="preserve">Puh. </w:t>
          </w:r>
          <w:r w:rsidRPr="00A17AA6">
            <w:t>09 7711</w:t>
          </w:r>
        </w:p>
        <w:p w:rsidR="00FC7C2A" w:rsidRPr="00874295" w:rsidRDefault="00874295" w:rsidP="00681E52">
          <w:pPr>
            <w:pStyle w:val="Alatunniste"/>
          </w:pPr>
          <w:r w:rsidRPr="00874295">
            <w:t>etunimi.sukunimi@kuntaliitto.fi</w:t>
          </w:r>
        </w:p>
        <w:p w:rsidR="00874295" w:rsidRPr="00874295" w:rsidRDefault="00874295" w:rsidP="00874295">
          <w:pPr>
            <w:rPr>
              <w:color w:val="7F7F7F"/>
              <w:sz w:val="14"/>
            </w:rPr>
          </w:pPr>
          <w:r w:rsidRPr="00874295">
            <w:rPr>
              <w:color w:val="7F7F7F"/>
              <w:sz w:val="14"/>
            </w:rPr>
            <w:t>Y-tunnus 0926151-4</w:t>
          </w:r>
        </w:p>
        <w:p w:rsidR="00874295" w:rsidRPr="00874295" w:rsidRDefault="00874295" w:rsidP="00681E52">
          <w:pPr>
            <w:pStyle w:val="Alatunniste"/>
          </w:pPr>
        </w:p>
      </w:tc>
      <w:tc>
        <w:tcPr>
          <w:tcW w:w="5359" w:type="dxa"/>
          <w:gridSpan w:val="3"/>
        </w:tcPr>
        <w:p w:rsidR="00FC7C2A" w:rsidRPr="00756BFE" w:rsidRDefault="00FC7C2A" w:rsidP="007C3FA3">
          <w:pPr>
            <w:pStyle w:val="Alatunniste"/>
            <w:ind w:right="-2353"/>
            <w:rPr>
              <w:b/>
              <w:color w:val="002E63" w:themeColor="text1"/>
              <w:lang w:val="sv-FI"/>
            </w:rPr>
          </w:pPr>
          <w:r w:rsidRPr="00756BFE">
            <w:rPr>
              <w:b/>
              <w:color w:val="002E63" w:themeColor="text1"/>
              <w:lang w:val="sv-FI"/>
            </w:rPr>
            <w:t>Finlands Kommunförbund</w:t>
          </w:r>
        </w:p>
        <w:p w:rsidR="00FC7C2A" w:rsidRPr="00A17AA6" w:rsidRDefault="00FC7C2A" w:rsidP="00681E52">
          <w:pPr>
            <w:pStyle w:val="Alatunniste"/>
            <w:rPr>
              <w:lang w:val="sv-FI"/>
            </w:rPr>
          </w:pPr>
          <w:r w:rsidRPr="00A17AA6">
            <w:rPr>
              <w:lang w:val="sv-FI"/>
            </w:rPr>
            <w:t>Andra linjen 14</w:t>
          </w:r>
          <w:r>
            <w:rPr>
              <w:lang w:val="sv-FI"/>
            </w:rPr>
            <w:t>,</w:t>
          </w:r>
          <w:r w:rsidRPr="00A17AA6">
            <w:rPr>
              <w:lang w:val="sv-FI"/>
            </w:rPr>
            <w:t>00530 Helsingfors</w:t>
          </w:r>
        </w:p>
        <w:p w:rsidR="00FC7C2A" w:rsidRPr="00A17AA6" w:rsidRDefault="00FC7C2A" w:rsidP="00681E52">
          <w:pPr>
            <w:pStyle w:val="Alatunniste"/>
            <w:rPr>
              <w:lang w:val="sv-FI"/>
            </w:rPr>
          </w:pPr>
          <w:r w:rsidRPr="00A17AA6">
            <w:rPr>
              <w:lang w:val="sv-FI"/>
            </w:rPr>
            <w:t>PB 200, 00101 Helsingfors</w:t>
          </w:r>
        </w:p>
        <w:p w:rsidR="00FC7C2A" w:rsidRPr="00A17AA6" w:rsidRDefault="00FC7C2A" w:rsidP="00681E52">
          <w:pPr>
            <w:pStyle w:val="Alatunniste"/>
            <w:rPr>
              <w:lang w:val="sv-FI"/>
            </w:rPr>
          </w:pPr>
          <w:r>
            <w:rPr>
              <w:lang w:val="sv-FI"/>
            </w:rPr>
            <w:t>Tfn 09</w:t>
          </w:r>
          <w:r w:rsidRPr="00A17AA6">
            <w:rPr>
              <w:lang w:val="sv-FI"/>
            </w:rPr>
            <w:t xml:space="preserve"> 7711</w:t>
          </w:r>
        </w:p>
        <w:p w:rsidR="00FC7C2A" w:rsidRDefault="00874295" w:rsidP="00681E52">
          <w:pPr>
            <w:pStyle w:val="Alatunniste"/>
            <w:rPr>
              <w:lang w:val="sv-FI"/>
            </w:rPr>
          </w:pPr>
          <w:r w:rsidRPr="00874295">
            <w:rPr>
              <w:lang w:val="sv-FI"/>
            </w:rPr>
            <w:t>fornamn.efternamn@kommunforbundet.fi</w:t>
          </w:r>
        </w:p>
        <w:p w:rsidR="00874295" w:rsidRPr="00874295" w:rsidRDefault="00874295" w:rsidP="00874295">
          <w:pPr>
            <w:rPr>
              <w:color w:val="7F7F7F"/>
              <w:sz w:val="14"/>
              <w:lang w:val="sv-FI"/>
            </w:rPr>
          </w:pPr>
          <w:r>
            <w:rPr>
              <w:color w:val="7F7F7F"/>
              <w:sz w:val="14"/>
              <w:lang w:val="sv-FI"/>
            </w:rPr>
            <w:t xml:space="preserve">FO-nummer </w:t>
          </w:r>
          <w:r w:rsidRPr="00874295">
            <w:rPr>
              <w:color w:val="7F7F7F"/>
              <w:sz w:val="14"/>
              <w:lang w:val="sv-FI"/>
            </w:rPr>
            <w:t>0926151-4</w:t>
          </w:r>
        </w:p>
        <w:p w:rsidR="00874295" w:rsidRPr="00A17AA6" w:rsidRDefault="00874295" w:rsidP="00681E52">
          <w:pPr>
            <w:pStyle w:val="Alatunniste"/>
            <w:rPr>
              <w:lang w:val="sv-FI"/>
            </w:rPr>
          </w:pPr>
        </w:p>
      </w:tc>
    </w:tr>
  </w:tbl>
  <w:p w:rsidR="00F42D13" w:rsidRPr="00FC7C2A" w:rsidRDefault="00F42D13">
    <w:pPr>
      <w:pStyle w:val="Alatunniste"/>
      <w:rPr>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A5" w:rsidRDefault="00CD42A5" w:rsidP="002233A8">
      <w:r>
        <w:separator/>
      </w:r>
    </w:p>
  </w:footnote>
  <w:footnote w:type="continuationSeparator" w:id="0">
    <w:p w:rsidR="00CD42A5" w:rsidRDefault="00CD42A5" w:rsidP="0022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752" w:type="dxa"/>
      <w:tblLayout w:type="fixed"/>
      <w:tblLook w:val="04A0" w:firstRow="1" w:lastRow="0" w:firstColumn="1" w:lastColumn="0" w:noHBand="0" w:noVBand="1"/>
    </w:tblPr>
    <w:tblGrid>
      <w:gridCol w:w="5216"/>
      <w:gridCol w:w="2608"/>
      <w:gridCol w:w="1304"/>
      <w:gridCol w:w="624"/>
    </w:tblGrid>
    <w:tr w:rsidR="00887E54" w:rsidRPr="002233A8" w:rsidTr="00983278">
      <w:tc>
        <w:tcPr>
          <w:tcW w:w="5216" w:type="dxa"/>
        </w:tcPr>
        <w:p w:rsidR="00887E54" w:rsidRPr="002233A8" w:rsidRDefault="00887E54" w:rsidP="00D21B91">
          <w:pPr>
            <w:pStyle w:val="Yltunniste"/>
          </w:pPr>
        </w:p>
      </w:tc>
      <w:tc>
        <w:tcPr>
          <w:tcW w:w="2608" w:type="dxa"/>
        </w:tcPr>
        <w:p w:rsidR="00887E54" w:rsidRPr="002233A8" w:rsidRDefault="00887E54" w:rsidP="00D21B91">
          <w:pPr>
            <w:pStyle w:val="Yltunniste"/>
          </w:pPr>
        </w:p>
      </w:tc>
      <w:tc>
        <w:tcPr>
          <w:tcW w:w="1304" w:type="dxa"/>
        </w:tcPr>
        <w:p w:rsidR="00887E54" w:rsidRPr="002233A8" w:rsidRDefault="00887E54" w:rsidP="00D21B91">
          <w:pPr>
            <w:pStyle w:val="Yltunniste"/>
          </w:pPr>
        </w:p>
      </w:tc>
      <w:tc>
        <w:tcPr>
          <w:tcW w:w="624" w:type="dxa"/>
        </w:tcPr>
        <w:p w:rsidR="00887E54" w:rsidRPr="002233A8" w:rsidRDefault="00B46A56" w:rsidP="00D21B91">
          <w:pPr>
            <w:pStyle w:val="Yltunniste"/>
          </w:pPr>
          <w:r>
            <w:fldChar w:fldCharType="begin"/>
          </w:r>
          <w:r>
            <w:instrText xml:space="preserve"> PAGE  \* Arabic  \* MERGEFORMAT </w:instrText>
          </w:r>
          <w:r>
            <w:fldChar w:fldCharType="separate"/>
          </w:r>
          <w:r w:rsidR="00343A31">
            <w:rPr>
              <w:noProof/>
            </w:rPr>
            <w:t>3</w:t>
          </w:r>
          <w:r>
            <w:fldChar w:fldCharType="end"/>
          </w:r>
        </w:p>
      </w:tc>
    </w:tr>
  </w:tbl>
  <w:p w:rsidR="00983278" w:rsidRPr="002233A8" w:rsidRDefault="00983278" w:rsidP="0098327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923" w:type="dxa"/>
      <w:tblLayout w:type="fixed"/>
      <w:tblLook w:val="04A0" w:firstRow="1" w:lastRow="0" w:firstColumn="1" w:lastColumn="0" w:noHBand="0" w:noVBand="1"/>
    </w:tblPr>
    <w:tblGrid>
      <w:gridCol w:w="5216"/>
      <w:gridCol w:w="2608"/>
      <w:gridCol w:w="1304"/>
      <w:gridCol w:w="795"/>
    </w:tblGrid>
    <w:tr w:rsidR="00983278" w:rsidRPr="00A17AA6" w:rsidTr="00E44E44">
      <w:tc>
        <w:tcPr>
          <w:tcW w:w="5216" w:type="dxa"/>
          <w:vMerge w:val="restart"/>
        </w:tcPr>
        <w:p w:rsidR="00983278" w:rsidRPr="00A17AA6" w:rsidRDefault="00983278" w:rsidP="00280E94">
          <w:pPr>
            <w:pStyle w:val="Yltunniste"/>
          </w:pPr>
          <w:r w:rsidRPr="00A17AA6">
            <w:rPr>
              <w:noProof/>
              <w:lang w:eastAsia="fi-FI"/>
            </w:rPr>
            <w:drawing>
              <wp:anchor distT="0" distB="0" distL="114300" distR="114300" simplePos="0" relativeHeight="251660288" behindDoc="0" locked="0" layoutInCell="1" allowOverlap="1" wp14:anchorId="6B6FF3ED" wp14:editId="40EDAD41">
                <wp:simplePos x="0" y="0"/>
                <wp:positionH relativeFrom="column">
                  <wp:posOffset>-151765</wp:posOffset>
                </wp:positionH>
                <wp:positionV relativeFrom="paragraph">
                  <wp:posOffset>-192405</wp:posOffset>
                </wp:positionV>
                <wp:extent cx="2016000" cy="626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taliitto_vari_RGB.png"/>
                        <pic:cNvPicPr/>
                      </pic:nvPicPr>
                      <pic:blipFill>
                        <a:blip r:embed="rId1">
                          <a:extLst>
                            <a:ext uri="{28A0092B-C50C-407E-A947-70E740481C1C}">
                              <a14:useLocalDpi xmlns:a14="http://schemas.microsoft.com/office/drawing/2010/main" val="0"/>
                            </a:ext>
                          </a:extLst>
                        </a:blip>
                        <a:stretch>
                          <a:fillRect/>
                        </a:stretch>
                      </pic:blipFill>
                      <pic:spPr>
                        <a:xfrm>
                          <a:off x="0" y="0"/>
                          <a:ext cx="2016000" cy="626182"/>
                        </a:xfrm>
                        <a:prstGeom prst="rect">
                          <a:avLst/>
                        </a:prstGeom>
                      </pic:spPr>
                    </pic:pic>
                  </a:graphicData>
                </a:graphic>
                <wp14:sizeRelH relativeFrom="page">
                  <wp14:pctWidth>0</wp14:pctWidth>
                </wp14:sizeRelH>
                <wp14:sizeRelV relativeFrom="page">
                  <wp14:pctHeight>0</wp14:pctHeight>
                </wp14:sizeRelV>
              </wp:anchor>
            </w:drawing>
          </w:r>
        </w:p>
      </w:tc>
      <w:sdt>
        <w:sdtPr>
          <w:rPr>
            <w:b/>
          </w:rPr>
          <w:id w:val="1400089535"/>
          <w:placeholder>
            <w:docPart w:val="19C9319F12AA4E3F9B99DA60FFB72561"/>
          </w:placeholder>
          <w:text/>
        </w:sdtPr>
        <w:sdtEndPr/>
        <w:sdtContent>
          <w:tc>
            <w:tcPr>
              <w:tcW w:w="2608" w:type="dxa"/>
            </w:tcPr>
            <w:p w:rsidR="00983278" w:rsidRPr="00A17AA6" w:rsidRDefault="00991E87" w:rsidP="00991E87">
              <w:pPr>
                <w:pStyle w:val="Yltunniste"/>
                <w:rPr>
                  <w:b/>
                </w:rPr>
              </w:pPr>
              <w:r>
                <w:rPr>
                  <w:b/>
                </w:rPr>
                <w:t>Eriävä mielipide</w:t>
              </w:r>
            </w:p>
          </w:tc>
        </w:sdtContent>
      </w:sdt>
      <w:tc>
        <w:tcPr>
          <w:tcW w:w="1304" w:type="dxa"/>
        </w:tcPr>
        <w:p w:rsidR="00983278" w:rsidRPr="00A17AA6" w:rsidRDefault="00983278" w:rsidP="00280E94">
          <w:pPr>
            <w:pStyle w:val="Yltunniste"/>
          </w:pPr>
        </w:p>
      </w:tc>
      <w:tc>
        <w:tcPr>
          <w:tcW w:w="795" w:type="dxa"/>
        </w:tcPr>
        <w:p w:rsidR="00983278" w:rsidRPr="00A17AA6" w:rsidRDefault="00983278" w:rsidP="00280E94">
          <w:pPr>
            <w:pStyle w:val="Yltunniste"/>
          </w:pPr>
        </w:p>
      </w:tc>
    </w:tr>
    <w:tr w:rsidR="00CF438D" w:rsidRPr="00A17AA6" w:rsidTr="00E44E44">
      <w:tc>
        <w:tcPr>
          <w:tcW w:w="5216" w:type="dxa"/>
          <w:vMerge/>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2099" w:type="dxa"/>
          <w:gridSpan w:val="2"/>
        </w:tcPr>
        <w:p w:rsidR="00CF438D" w:rsidRPr="00A17AA6" w:rsidRDefault="00CF438D" w:rsidP="00280E94">
          <w:pPr>
            <w:pStyle w:val="Yltunniste"/>
          </w:pPr>
        </w:p>
      </w:tc>
    </w:tr>
    <w:tr w:rsidR="00CF438D" w:rsidRPr="00A17AA6" w:rsidTr="00E44E44">
      <w:tc>
        <w:tcPr>
          <w:tcW w:w="5216" w:type="dxa"/>
          <w:vMerge/>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2099" w:type="dxa"/>
          <w:gridSpan w:val="2"/>
        </w:tcPr>
        <w:p w:rsidR="00CF438D" w:rsidRPr="00A17AA6" w:rsidRDefault="00EF3C38" w:rsidP="00280E94">
          <w:pPr>
            <w:pStyle w:val="Yltunniste"/>
          </w:pPr>
          <w:proofErr w:type="spellStart"/>
          <w:r>
            <w:t>Dnro</w:t>
          </w:r>
          <w:proofErr w:type="spellEnd"/>
        </w:p>
      </w:tc>
    </w:tr>
    <w:tr w:rsidR="00CF438D" w:rsidRPr="00A17AA6" w:rsidTr="00E44E44">
      <w:tc>
        <w:tcPr>
          <w:tcW w:w="5216" w:type="dxa"/>
        </w:tcPr>
        <w:p w:rsidR="00CF438D" w:rsidRPr="00A17AA6" w:rsidRDefault="00CF438D" w:rsidP="00A17AA6">
          <w:pPr>
            <w:pStyle w:val="Yltunniste"/>
          </w:pPr>
        </w:p>
      </w:tc>
      <w:sdt>
        <w:sdtPr>
          <w:id w:val="-1299987902"/>
          <w:date w:fullDate="2017-12-20T00:00:00Z">
            <w:dateFormat w:val="d.M.yyyy"/>
            <w:lid w:val="fi-FI"/>
            <w:storeMappedDataAs w:val="dateTime"/>
            <w:calendar w:val="gregorian"/>
          </w:date>
        </w:sdtPr>
        <w:sdtEndPr/>
        <w:sdtContent>
          <w:tc>
            <w:tcPr>
              <w:tcW w:w="2608" w:type="dxa"/>
            </w:tcPr>
            <w:p w:rsidR="00CF438D" w:rsidRPr="00A17AA6" w:rsidRDefault="00991E87" w:rsidP="00A17AA6">
              <w:pPr>
                <w:pStyle w:val="Yltunniste"/>
              </w:pPr>
              <w:r>
                <w:t>20.12.2017</w:t>
              </w:r>
            </w:p>
          </w:tc>
        </w:sdtContent>
      </w:sdt>
      <w:tc>
        <w:tcPr>
          <w:tcW w:w="2099" w:type="dxa"/>
          <w:gridSpan w:val="2"/>
        </w:tcPr>
        <w:p w:rsidR="00CF438D" w:rsidRPr="00A17AA6" w:rsidRDefault="00CF438D" w:rsidP="00280E94">
          <w:pPr>
            <w:pStyle w:val="Yltunniste"/>
          </w:pPr>
        </w:p>
      </w:tc>
    </w:tr>
    <w:tr w:rsidR="00CF438D" w:rsidRPr="00A17AA6" w:rsidTr="00E44E44">
      <w:trPr>
        <w:trHeight w:hRule="exact" w:val="454"/>
      </w:trPr>
      <w:tc>
        <w:tcPr>
          <w:tcW w:w="5216" w:type="dxa"/>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2099" w:type="dxa"/>
          <w:gridSpan w:val="2"/>
        </w:tcPr>
        <w:p w:rsidR="00CF438D" w:rsidRPr="00A17AA6" w:rsidRDefault="00CF438D" w:rsidP="00280E94">
          <w:pPr>
            <w:pStyle w:val="Yltunniste"/>
          </w:pPr>
        </w:p>
      </w:tc>
    </w:tr>
  </w:tbl>
  <w:p w:rsidR="00983278" w:rsidRPr="00A17AA6" w:rsidRDefault="0098327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1289A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695FBD"/>
    <w:multiLevelType w:val="multilevel"/>
    <w:tmpl w:val="895622CA"/>
    <w:styleLink w:val="Otsikkonumerointi"/>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2438" w:hanging="1134"/>
      </w:pPr>
      <w:rPr>
        <w:rFonts w:hint="default"/>
      </w:rPr>
    </w:lvl>
    <w:lvl w:ilvl="3">
      <w:start w:val="1"/>
      <w:numFmt w:val="none"/>
      <w:pStyle w:val="Otsikko4"/>
      <w:suff w:val="nothing"/>
      <w:lvlText w:val=""/>
      <w:lvlJc w:val="left"/>
      <w:pPr>
        <w:ind w:left="1304" w:firstLine="0"/>
      </w:pPr>
      <w:rPr>
        <w:rFonts w:hint="default"/>
      </w:rPr>
    </w:lvl>
    <w:lvl w:ilvl="4">
      <w:start w:val="1"/>
      <w:numFmt w:val="none"/>
      <w:pStyle w:val="Otsikko5"/>
      <w:suff w:val="nothing"/>
      <w:lvlText w:val=""/>
      <w:lvlJc w:val="left"/>
      <w:pPr>
        <w:ind w:left="1304" w:firstLine="0"/>
      </w:pPr>
      <w:rPr>
        <w:rFonts w:hint="default"/>
      </w:rPr>
    </w:lvl>
    <w:lvl w:ilvl="5">
      <w:start w:val="1"/>
      <w:numFmt w:val="none"/>
      <w:pStyle w:val="Otsikko6"/>
      <w:suff w:val="nothing"/>
      <w:lvlText w:val=""/>
      <w:lvlJc w:val="left"/>
      <w:pPr>
        <w:ind w:left="1304" w:firstLine="0"/>
      </w:pPr>
      <w:rPr>
        <w:rFonts w:hint="default"/>
      </w:rPr>
    </w:lvl>
    <w:lvl w:ilvl="6">
      <w:start w:val="1"/>
      <w:numFmt w:val="none"/>
      <w:pStyle w:val="Otsikko7"/>
      <w:suff w:val="nothing"/>
      <w:lvlText w:val=""/>
      <w:lvlJc w:val="left"/>
      <w:pPr>
        <w:ind w:left="1304" w:firstLine="0"/>
      </w:pPr>
      <w:rPr>
        <w:rFonts w:hint="default"/>
      </w:rPr>
    </w:lvl>
    <w:lvl w:ilvl="7">
      <w:start w:val="1"/>
      <w:numFmt w:val="none"/>
      <w:pStyle w:val="Otsikko8"/>
      <w:suff w:val="nothing"/>
      <w:lvlText w:val=""/>
      <w:lvlJc w:val="left"/>
      <w:pPr>
        <w:ind w:left="1304" w:firstLine="0"/>
      </w:pPr>
      <w:rPr>
        <w:rFonts w:hint="default"/>
      </w:rPr>
    </w:lvl>
    <w:lvl w:ilvl="8">
      <w:start w:val="1"/>
      <w:numFmt w:val="none"/>
      <w:pStyle w:val="Otsikko9"/>
      <w:suff w:val="nothing"/>
      <w:lvlText w:val=""/>
      <w:lvlJc w:val="left"/>
      <w:pPr>
        <w:ind w:left="1304" w:firstLine="0"/>
      </w:pPr>
      <w:rPr>
        <w:rFonts w:hint="default"/>
      </w:rPr>
    </w:lvl>
  </w:abstractNum>
  <w:abstractNum w:abstractNumId="3" w15:restartNumberingAfterBreak="0">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4" w15:restartNumberingAfterBreak="0">
    <w:nsid w:val="32052D02"/>
    <w:multiLevelType w:val="hybridMultilevel"/>
    <w:tmpl w:val="88B89E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6" w15:restartNumberingAfterBreak="0">
    <w:nsid w:val="72173DE0"/>
    <w:multiLevelType w:val="multilevel"/>
    <w:tmpl w:val="895622CA"/>
    <w:numStyleLink w:val="Otsikkonumerointi"/>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attachedTemplate r:id="rId1"/>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A5"/>
    <w:rsid w:val="00013DF1"/>
    <w:rsid w:val="000569A9"/>
    <w:rsid w:val="00057F60"/>
    <w:rsid w:val="0006563F"/>
    <w:rsid w:val="000762B7"/>
    <w:rsid w:val="00091DA3"/>
    <w:rsid w:val="0009284A"/>
    <w:rsid w:val="000C72C5"/>
    <w:rsid w:val="000E37B5"/>
    <w:rsid w:val="000F204E"/>
    <w:rsid w:val="000F3EAA"/>
    <w:rsid w:val="000F6045"/>
    <w:rsid w:val="00127316"/>
    <w:rsid w:val="001279DF"/>
    <w:rsid w:val="00176E46"/>
    <w:rsid w:val="001A1055"/>
    <w:rsid w:val="001A7EE8"/>
    <w:rsid w:val="001B156C"/>
    <w:rsid w:val="001D7AD3"/>
    <w:rsid w:val="001F346B"/>
    <w:rsid w:val="001F69B9"/>
    <w:rsid w:val="002233A8"/>
    <w:rsid w:val="00277DEB"/>
    <w:rsid w:val="002851CB"/>
    <w:rsid w:val="003014B2"/>
    <w:rsid w:val="0032697D"/>
    <w:rsid w:val="00343A31"/>
    <w:rsid w:val="00345689"/>
    <w:rsid w:val="0038490C"/>
    <w:rsid w:val="003D61AF"/>
    <w:rsid w:val="00462FB3"/>
    <w:rsid w:val="004A2040"/>
    <w:rsid w:val="004C3183"/>
    <w:rsid w:val="004C4858"/>
    <w:rsid w:val="004E1DF5"/>
    <w:rsid w:val="00510B85"/>
    <w:rsid w:val="005406C4"/>
    <w:rsid w:val="00543266"/>
    <w:rsid w:val="00546EC7"/>
    <w:rsid w:val="00553465"/>
    <w:rsid w:val="005A3149"/>
    <w:rsid w:val="005B72A4"/>
    <w:rsid w:val="005E7660"/>
    <w:rsid w:val="005F46F7"/>
    <w:rsid w:val="00605138"/>
    <w:rsid w:val="00605418"/>
    <w:rsid w:val="00607649"/>
    <w:rsid w:val="0062737B"/>
    <w:rsid w:val="00640DEC"/>
    <w:rsid w:val="00662D5C"/>
    <w:rsid w:val="00687039"/>
    <w:rsid w:val="00693A4A"/>
    <w:rsid w:val="0069594F"/>
    <w:rsid w:val="006C702C"/>
    <w:rsid w:val="006E55ED"/>
    <w:rsid w:val="006E69FB"/>
    <w:rsid w:val="00704830"/>
    <w:rsid w:val="00744232"/>
    <w:rsid w:val="007448E6"/>
    <w:rsid w:val="00766ED3"/>
    <w:rsid w:val="00767518"/>
    <w:rsid w:val="00771DB2"/>
    <w:rsid w:val="007C3FA3"/>
    <w:rsid w:val="007D4DB1"/>
    <w:rsid w:val="007E3B84"/>
    <w:rsid w:val="00874295"/>
    <w:rsid w:val="00887E54"/>
    <w:rsid w:val="008945E1"/>
    <w:rsid w:val="008A19B6"/>
    <w:rsid w:val="008B7736"/>
    <w:rsid w:val="009076D4"/>
    <w:rsid w:val="00920CC0"/>
    <w:rsid w:val="00951C28"/>
    <w:rsid w:val="00955111"/>
    <w:rsid w:val="00983278"/>
    <w:rsid w:val="00985071"/>
    <w:rsid w:val="00991E87"/>
    <w:rsid w:val="0099473E"/>
    <w:rsid w:val="009B0F53"/>
    <w:rsid w:val="009C0E4A"/>
    <w:rsid w:val="00A17AA6"/>
    <w:rsid w:val="00A254FC"/>
    <w:rsid w:val="00A257A0"/>
    <w:rsid w:val="00A770C6"/>
    <w:rsid w:val="00AC03A4"/>
    <w:rsid w:val="00B05FF9"/>
    <w:rsid w:val="00B32088"/>
    <w:rsid w:val="00B33020"/>
    <w:rsid w:val="00B46A56"/>
    <w:rsid w:val="00B70890"/>
    <w:rsid w:val="00B77682"/>
    <w:rsid w:val="00B85127"/>
    <w:rsid w:val="00BA23EE"/>
    <w:rsid w:val="00BD0BD6"/>
    <w:rsid w:val="00BE4E63"/>
    <w:rsid w:val="00BF0C25"/>
    <w:rsid w:val="00C321B4"/>
    <w:rsid w:val="00C43FAD"/>
    <w:rsid w:val="00C9445F"/>
    <w:rsid w:val="00CB3D4A"/>
    <w:rsid w:val="00CD42A5"/>
    <w:rsid w:val="00CF438D"/>
    <w:rsid w:val="00CF54FC"/>
    <w:rsid w:val="00D3785C"/>
    <w:rsid w:val="00D63BFE"/>
    <w:rsid w:val="00D7752E"/>
    <w:rsid w:val="00D80FA8"/>
    <w:rsid w:val="00D9280E"/>
    <w:rsid w:val="00D93239"/>
    <w:rsid w:val="00DC064E"/>
    <w:rsid w:val="00DD0E94"/>
    <w:rsid w:val="00DF1C1F"/>
    <w:rsid w:val="00DF6E86"/>
    <w:rsid w:val="00DF7C3C"/>
    <w:rsid w:val="00E177C8"/>
    <w:rsid w:val="00E36334"/>
    <w:rsid w:val="00E448D8"/>
    <w:rsid w:val="00E44E44"/>
    <w:rsid w:val="00E86F05"/>
    <w:rsid w:val="00ED2F1B"/>
    <w:rsid w:val="00EF1C52"/>
    <w:rsid w:val="00EF3C38"/>
    <w:rsid w:val="00F20212"/>
    <w:rsid w:val="00F27402"/>
    <w:rsid w:val="00F42D13"/>
    <w:rsid w:val="00F95C3C"/>
    <w:rsid w:val="00FC5F06"/>
    <w:rsid w:val="00FC7C2A"/>
    <w:rsid w:val="00FE0C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177E45"/>
  <w15:docId w15:val="{51D862D4-034E-4DFE-9ECA-003D00DF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438D"/>
  </w:style>
  <w:style w:type="paragraph" w:styleId="Otsikko1">
    <w:name w:val="heading 1"/>
    <w:basedOn w:val="Normaali"/>
    <w:next w:val="Leipteksti"/>
    <w:link w:val="Otsikko1Char"/>
    <w:uiPriority w:val="9"/>
    <w:qFormat/>
    <w:rsid w:val="00CF438D"/>
    <w:pPr>
      <w:keepNext/>
      <w:keepLines/>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CF438D"/>
    <w:pPr>
      <w:keepNext/>
      <w:keepLines/>
      <w:spacing w:after="180"/>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CF438D"/>
    <w:pPr>
      <w:keepNext/>
      <w:keepLines/>
      <w:spacing w:after="180"/>
      <w:ind w:left="1304"/>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1A7EE8"/>
    <w:pPr>
      <w:keepNext/>
      <w:keepLines/>
      <w:numPr>
        <w:ilvl w:val="3"/>
        <w:numId w:val="6"/>
      </w:numPr>
      <w:spacing w:after="18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A7EE8"/>
    <w:pPr>
      <w:keepNext/>
      <w:keepLines/>
      <w:numPr>
        <w:ilvl w:val="4"/>
        <w:numId w:val="6"/>
      </w:numPr>
      <w:spacing w:after="18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A7EE8"/>
    <w:pPr>
      <w:keepNext/>
      <w:keepLines/>
      <w:numPr>
        <w:ilvl w:val="5"/>
        <w:numId w:val="6"/>
      </w:numPr>
      <w:spacing w:after="18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A7EE8"/>
    <w:pPr>
      <w:keepNext/>
      <w:keepLines/>
      <w:numPr>
        <w:ilvl w:val="6"/>
        <w:numId w:val="6"/>
      </w:numPr>
      <w:spacing w:after="18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A7EE8"/>
    <w:pPr>
      <w:keepNext/>
      <w:keepLines/>
      <w:numPr>
        <w:ilvl w:val="7"/>
        <w:numId w:val="6"/>
      </w:numPr>
      <w:spacing w:after="18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A7EE8"/>
    <w:pPr>
      <w:keepNext/>
      <w:keepLines/>
      <w:numPr>
        <w:ilvl w:val="8"/>
        <w:numId w:val="6"/>
      </w:numPr>
      <w:spacing w:after="18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FC7C2A"/>
    <w:pPr>
      <w:spacing w:after="180"/>
      <w:ind w:right="2552"/>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FC7C2A"/>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CF438D"/>
    <w:rPr>
      <w:rFonts w:asciiTheme="majorHAnsi" w:eastAsiaTheme="majorEastAsia" w:hAnsiTheme="majorHAnsi" w:cstheme="majorBidi"/>
      <w:b/>
      <w:bCs/>
      <w:szCs w:val="28"/>
    </w:rPr>
  </w:style>
  <w:style w:type="paragraph" w:styleId="Leipteksti">
    <w:name w:val="Body Text"/>
    <w:basedOn w:val="Normaali"/>
    <w:link w:val="LeiptekstiChar"/>
    <w:uiPriority w:val="1"/>
    <w:qFormat/>
    <w:rsid w:val="00CF438D"/>
    <w:pPr>
      <w:spacing w:after="180"/>
      <w:ind w:left="1304"/>
    </w:pPr>
  </w:style>
  <w:style w:type="character" w:customStyle="1" w:styleId="LeiptekstiChar">
    <w:name w:val="Leipäteksti Char"/>
    <w:basedOn w:val="Kappaleenoletusfontti"/>
    <w:link w:val="Leipteksti"/>
    <w:uiPriority w:val="1"/>
    <w:rsid w:val="00CF438D"/>
  </w:style>
  <w:style w:type="character" w:customStyle="1" w:styleId="Otsikko2Char">
    <w:name w:val="Otsikko 2 Char"/>
    <w:basedOn w:val="Kappaleenoletusfontti"/>
    <w:link w:val="Otsikko2"/>
    <w:uiPriority w:val="9"/>
    <w:rsid w:val="00CF438D"/>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CF438D"/>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1A7EE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A7EE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A7EE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A7EE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A7EE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A7EE8"/>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B32088"/>
  </w:style>
  <w:style w:type="paragraph" w:styleId="Eivli">
    <w:name w:val="No Spacing"/>
    <w:uiPriority w:val="2"/>
    <w:qFormat/>
    <w:rsid w:val="00CF438D"/>
    <w:pPr>
      <w:ind w:left="1304"/>
    </w:pPr>
  </w:style>
  <w:style w:type="paragraph" w:styleId="Yltunniste">
    <w:name w:val="header"/>
    <w:basedOn w:val="Normaali"/>
    <w:link w:val="YltunnisteChar"/>
    <w:uiPriority w:val="99"/>
    <w:rsid w:val="00E448D8"/>
  </w:style>
  <w:style w:type="character" w:customStyle="1" w:styleId="YltunnisteChar">
    <w:name w:val="Ylätunniste Char"/>
    <w:basedOn w:val="Kappaleenoletusfontti"/>
    <w:link w:val="Yltunniste"/>
    <w:uiPriority w:val="99"/>
    <w:rsid w:val="00E448D8"/>
  </w:style>
  <w:style w:type="paragraph" w:styleId="Alatunniste">
    <w:name w:val="footer"/>
    <w:basedOn w:val="Normaali"/>
    <w:link w:val="AlatunnisteChar"/>
    <w:uiPriority w:val="99"/>
    <w:rsid w:val="007E3B84"/>
    <w:rPr>
      <w:color w:val="7F7F7F"/>
      <w:sz w:val="14"/>
    </w:rPr>
  </w:style>
  <w:style w:type="character" w:customStyle="1" w:styleId="AlatunnisteChar">
    <w:name w:val="Alatunniste Char"/>
    <w:basedOn w:val="Kappaleenoletusfontti"/>
    <w:link w:val="Alatunniste"/>
    <w:uiPriority w:val="99"/>
    <w:rsid w:val="007E3B84"/>
    <w:rPr>
      <w:color w:val="7F7F7F"/>
      <w:sz w:val="14"/>
    </w:rPr>
  </w:style>
  <w:style w:type="table" w:styleId="TaulukkoRuudukko">
    <w:name w:val="Table Grid"/>
    <w:basedOn w:val="Normaalitaulukko"/>
    <w:uiPriority w:val="59"/>
    <w:rsid w:val="002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uudukkoa">
    <w:name w:val="Ei ruudukkoa"/>
    <w:basedOn w:val="Normaalitaulukko"/>
    <w:uiPriority w:val="99"/>
    <w:rsid w:val="002233A8"/>
    <w:tblPr>
      <w:tblCellMar>
        <w:left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0569A9"/>
    <w:pPr>
      <w:numPr>
        <w:numId w:val="3"/>
      </w:numPr>
    </w:pPr>
  </w:style>
  <w:style w:type="numbering" w:customStyle="1" w:styleId="Numerointi">
    <w:name w:val="Numerointi"/>
    <w:uiPriority w:val="99"/>
    <w:rsid w:val="006C702C"/>
    <w:pPr>
      <w:numPr>
        <w:numId w:val="4"/>
      </w:numPr>
    </w:pPr>
  </w:style>
  <w:style w:type="paragraph" w:styleId="Merkittyluettelo">
    <w:name w:val="List Bullet"/>
    <w:basedOn w:val="Normaali"/>
    <w:uiPriority w:val="99"/>
    <w:qFormat/>
    <w:rsid w:val="00CF438D"/>
    <w:pPr>
      <w:numPr>
        <w:numId w:val="7"/>
      </w:numPr>
      <w:spacing w:after="180"/>
      <w:contextualSpacing/>
    </w:pPr>
  </w:style>
  <w:style w:type="character" w:styleId="Hyperlinkki">
    <w:name w:val="Hyperlink"/>
    <w:basedOn w:val="Kappaleenoletusfontti"/>
    <w:uiPriority w:val="99"/>
    <w:unhideWhenUsed/>
    <w:rsid w:val="00F42D13"/>
    <w:rPr>
      <w:color w:val="0000FF" w:themeColor="hyperlink"/>
      <w:u w:val="single"/>
    </w:rPr>
  </w:style>
  <w:style w:type="paragraph" w:styleId="Numeroituluettelo">
    <w:name w:val="List Number"/>
    <w:basedOn w:val="Normaali"/>
    <w:uiPriority w:val="99"/>
    <w:qFormat/>
    <w:rsid w:val="00CF438D"/>
    <w:pPr>
      <w:numPr>
        <w:numId w:val="8"/>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1A7EE8"/>
    <w:pPr>
      <w:numPr>
        <w:numId w:val="5"/>
      </w:numPr>
    </w:pPr>
  </w:style>
  <w:style w:type="paragraph" w:customStyle="1" w:styleId="Sivuotsikko">
    <w:name w:val="Sivuotsikko"/>
    <w:basedOn w:val="Leipteksti"/>
    <w:next w:val="Leipteksti"/>
    <w:link w:val="SivuotsikkoChar"/>
    <w:uiPriority w:val="11"/>
    <w:qFormat/>
    <w:rsid w:val="00CF438D"/>
    <w:pPr>
      <w:ind w:hanging="1304"/>
    </w:pPr>
  </w:style>
  <w:style w:type="character" w:customStyle="1" w:styleId="SivuotsikkoChar">
    <w:name w:val="Sivuotsikko Char"/>
    <w:basedOn w:val="LeiptekstiChar"/>
    <w:link w:val="Sivuotsikko"/>
    <w:uiPriority w:val="11"/>
    <w:rsid w:val="00CF438D"/>
  </w:style>
  <w:style w:type="paragraph" w:styleId="Luettelokappale">
    <w:name w:val="List Paragraph"/>
    <w:basedOn w:val="Normaali"/>
    <w:uiPriority w:val="34"/>
    <w:qFormat/>
    <w:rsid w:val="00CD42A5"/>
    <w:pPr>
      <w:spacing w:after="160" w:line="259" w:lineRule="auto"/>
      <w:ind w:left="720"/>
      <w:contextualSpacing/>
    </w:pPr>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49961">
      <w:bodyDiv w:val="1"/>
      <w:marLeft w:val="0"/>
      <w:marRight w:val="0"/>
      <w:marTop w:val="0"/>
      <w:marBottom w:val="0"/>
      <w:divBdr>
        <w:top w:val="none" w:sz="0" w:space="0" w:color="auto"/>
        <w:left w:val="none" w:sz="0" w:space="0" w:color="auto"/>
        <w:bottom w:val="none" w:sz="0" w:space="0" w:color="auto"/>
        <w:right w:val="none" w:sz="0" w:space="0" w:color="auto"/>
      </w:divBdr>
    </w:div>
    <w:div w:id="12272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ina.eerikainen@minedu.fi"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katri.santtila@minedu.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kejo\AppData\Roaming\Microsoft\Templates\Kuntaliitto\Lausunto,%20ei%20nauho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C9319F12AA4E3F9B99DA60FFB72561"/>
        <w:category>
          <w:name w:val="Yleiset"/>
          <w:gallery w:val="placeholder"/>
        </w:category>
        <w:types>
          <w:type w:val="bbPlcHdr"/>
        </w:types>
        <w:behaviors>
          <w:behavior w:val="content"/>
        </w:behaviors>
        <w:guid w:val="{814BD12C-1FBC-493E-AC3F-CF1B121B709A}"/>
      </w:docPartPr>
      <w:docPartBody>
        <w:p w:rsidR="00314FF6" w:rsidRDefault="00314FF6">
          <w:pPr>
            <w:pStyle w:val="19C9319F12AA4E3F9B99DA60FFB72561"/>
          </w:pPr>
          <w:r w:rsidRPr="00CF438D">
            <w:rPr>
              <w:rStyle w:val="Paikkamerkkiteksti"/>
            </w:rPr>
            <w:t>[Vastaanottaja]</w:t>
          </w:r>
        </w:p>
      </w:docPartBody>
    </w:docPart>
    <w:docPart>
      <w:docPartPr>
        <w:name w:val="B329B15C08FE4AC280563818121F1E8D"/>
        <w:category>
          <w:name w:val="Yleiset"/>
          <w:gallery w:val="placeholder"/>
        </w:category>
        <w:types>
          <w:type w:val="bbPlcHdr"/>
        </w:types>
        <w:behaviors>
          <w:behavior w:val="content"/>
        </w:behaviors>
        <w:guid w:val="{FA733E8F-99A8-4FF2-A7F9-A7011EC5DCEB}"/>
      </w:docPartPr>
      <w:docPartBody>
        <w:p w:rsidR="00314FF6" w:rsidRDefault="00314FF6">
          <w:pPr>
            <w:pStyle w:val="B329B15C08FE4AC280563818121F1E8D"/>
          </w:pPr>
          <w:r w:rsidRPr="00CF438D">
            <w:rPr>
              <w:rStyle w:val="Paikkamerkkiteksti"/>
            </w:rPr>
            <w:t>[Asiaotsikko]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F6"/>
    <w:rsid w:val="00314F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19C9319F12AA4E3F9B99DA60FFB72561">
    <w:name w:val="19C9319F12AA4E3F9B99DA60FFB72561"/>
  </w:style>
  <w:style w:type="paragraph" w:customStyle="1" w:styleId="0399A1ED8ACA425F9AD18CB1DE6F7FEA">
    <w:name w:val="0399A1ED8ACA425F9AD18CB1DE6F7FEA"/>
  </w:style>
  <w:style w:type="paragraph" w:customStyle="1" w:styleId="829DF3D676164796AFEBDDFEF4B2BFD7">
    <w:name w:val="829DF3D676164796AFEBDDFEF4B2BFD7"/>
  </w:style>
  <w:style w:type="paragraph" w:customStyle="1" w:styleId="EE322F36699042C2BC84956B761649BA">
    <w:name w:val="EE322F36699042C2BC84956B761649BA"/>
  </w:style>
  <w:style w:type="paragraph" w:customStyle="1" w:styleId="FF5904F34B6B4817BCB2F95EB46E7BC0">
    <w:name w:val="FF5904F34B6B4817BCB2F95EB46E7BC0"/>
  </w:style>
  <w:style w:type="paragraph" w:customStyle="1" w:styleId="B329B15C08FE4AC280563818121F1E8D">
    <w:name w:val="B329B15C08FE4AC280563818121F1E8D"/>
  </w:style>
  <w:style w:type="paragraph" w:customStyle="1" w:styleId="3D46C2A2CE144CDD8A2C07E05F2D1A60">
    <w:name w:val="3D46C2A2CE144CDD8A2C07E05F2D1A60"/>
  </w:style>
  <w:style w:type="paragraph" w:customStyle="1" w:styleId="0270CCA71FEE4A68B054897203EC4D88">
    <w:name w:val="0270CCA71FEE4A68B054897203EC4D88"/>
  </w:style>
  <w:style w:type="paragraph" w:customStyle="1" w:styleId="CBDF9554667B409996798A040DD2FE67">
    <w:name w:val="CBDF9554667B409996798A040DD2FE67"/>
  </w:style>
  <w:style w:type="paragraph" w:customStyle="1" w:styleId="720370F47F414F51BCED5C871B8B67C8">
    <w:name w:val="720370F47F414F51BCED5C871B8B6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untaliitto">
      <a:dk1>
        <a:srgbClr val="002E63"/>
      </a:dk1>
      <a:lt1>
        <a:sysClr val="window" lastClr="FFFFFF"/>
      </a:lt1>
      <a:dk2>
        <a:srgbClr val="000000"/>
      </a:dk2>
      <a:lt2>
        <a:srgbClr val="EEECE1"/>
      </a:lt2>
      <a:accent1>
        <a:srgbClr val="002E63"/>
      </a:accent1>
      <a:accent2>
        <a:srgbClr val="00A6D6"/>
      </a:accent2>
      <a:accent3>
        <a:srgbClr val="6B8F00"/>
      </a:accent3>
      <a:accent4>
        <a:srgbClr val="B5BA05"/>
      </a:accent4>
      <a:accent5>
        <a:srgbClr val="F25900"/>
      </a:accent5>
      <a:accent6>
        <a:srgbClr val="E0AD12"/>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Lausunto, ei nauhoja.dotx</Template>
  <TotalTime>173</TotalTime>
  <Pages>3</Pages>
  <Words>931</Words>
  <Characters>7548</Characters>
  <Application>Microsoft Office Word</Application>
  <DocSecurity>0</DocSecurity>
  <Lines>62</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Suomen Kuntaliiton eriävä mielipide työryhmän esitykseen kulttuurin valtionosuusjärjestelmän uudistamiseksi</vt:lpstr>
      <vt:lpstr/>
    </vt:vector>
  </TitlesOfParts>
  <Company>Kuntaliitto</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Suomen Kuntaliiton eriävä mielipide työryhmän esitykseen kulttuurin valtionosuusjärjestelmän uudistamiseksi</dc:title>
  <dc:creator>Selkee Johanna</dc:creator>
  <cp:lastModifiedBy>Selkee Johanna</cp:lastModifiedBy>
  <cp:revision>11</cp:revision>
  <cp:lastPrinted>2017-12-20T07:33:00Z</cp:lastPrinted>
  <dcterms:created xsi:type="dcterms:W3CDTF">2017-12-18T11:46:00Z</dcterms:created>
  <dcterms:modified xsi:type="dcterms:W3CDTF">2017-12-20T09:06:00Z</dcterms:modified>
</cp:coreProperties>
</file>